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1DB" w:rsidRDefault="002871DB" w:rsidP="0067760C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55D2E" w:rsidRPr="00E65CD3" w:rsidRDefault="0044417A" w:rsidP="0067760C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5CD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Продолжаем нашу традиционную рубрику и предлагаем Вашему вниманию подборку наиболее интересных и актуальных вопросов, поступивших в этом месяце. </w:t>
      </w:r>
    </w:p>
    <w:p w:rsidR="0067760C" w:rsidRPr="00E65CD3" w:rsidRDefault="0067760C" w:rsidP="0067760C">
      <w:pPr>
        <w:pStyle w:val="a3"/>
        <w:numPr>
          <w:ilvl w:val="0"/>
          <w:numId w:val="1"/>
        </w:numPr>
        <w:jc w:val="both"/>
        <w:rPr>
          <w:b/>
        </w:rPr>
      </w:pPr>
      <w:r w:rsidRPr="00E65CD3">
        <w:rPr>
          <w:b/>
        </w:rPr>
        <w:t xml:space="preserve">Получил выписку из ЕНПФ, выяснилось, что мой работодатель не делал за меня взносы. Что делать? </w:t>
      </w:r>
    </w:p>
    <w:p w:rsidR="008A074E" w:rsidRPr="00E65CD3" w:rsidRDefault="008A074E" w:rsidP="008A074E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65C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Прежде </w:t>
      </w:r>
      <w:proofErr w:type="gramStart"/>
      <w:r w:rsidRPr="00E65C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всего</w:t>
      </w:r>
      <w:proofErr w:type="gramEnd"/>
      <w:r w:rsidRPr="00E65C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Вам необходимо с заявлением обратиться </w:t>
      </w:r>
      <w:r w:rsidR="00CC5058" w:rsidRPr="00E65C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налоговый комитет</w:t>
      </w:r>
      <w:r w:rsidRPr="00E65C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который инициирует проверку недобросовестного работодателя. </w:t>
      </w:r>
      <w:proofErr w:type="gramStart"/>
      <w:r w:rsidRPr="00E65C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Своевременно не удержанные (не начисленные) и (или) не перечисленные агентом суммы обязательных пенсионных взносов, обязательных профессиональных пенсионных взносов при условии фактической выплаты и получения работником дохода взыскиваются органами государственных доходов или подлежат перечислению агентами в пользу вкладчиков обязательных пенсионных взносов, работников, в пользу которых уплачиваются обязательные профессиональные пенсионные взносы с начисленной пеней в размере 2,5-кратной официальной ставки рефинансирования, установленной</w:t>
      </w:r>
      <w:proofErr w:type="gramEnd"/>
      <w:r w:rsidRPr="00E65C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уполномоченным органом, на каждый день просрочки (включая день оплаты в Государственную корпорацию). </w:t>
      </w:r>
    </w:p>
    <w:p w:rsidR="008A074E" w:rsidRPr="00E65CD3" w:rsidRDefault="008A074E" w:rsidP="008A074E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65C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случаях неполного и (или) несвоевременного перечисления обязательных пенсионных взносов, обязательных профессиональных пенсионных взносов органы государственных доходов вправе взыскивать с банковских счетов агентов деньги в пределах образовавшейся задолженности по обязательным пенсионным взносам, обязательным профессиональным пенсионным взносам. Взыскание задолженности по обязательным пенсионным взносам, обязательным профессиональным пенсионным взносам производится на основе уведомления, направляемого агенту в порядке, определенном Правительством Республики Казахстан. </w:t>
      </w:r>
    </w:p>
    <w:p w:rsidR="00CC5058" w:rsidRPr="00E65CD3" w:rsidRDefault="008A074E" w:rsidP="005C2F82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65C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Агент в течение пяти рабочих дней со дня получения уведомления обязан представить в орган государственных доходов списки вкладчиков обязательных пенсионных взносов единого накопительного пенсионного фонда, в пользу которых взыскивается задолженность по обязательным пенсионным взносам, а также списки работников, в пользу которых взыскивается задолженность по обязательным профессиональным пенсионным взносам. Взыскание задолженности по обязательным пенсионным взносам, обязательным профессиональным пенсионным взносам с банковских счетов агентов производится на основании инкассового распоряжения органа государственных доходов. </w:t>
      </w:r>
    </w:p>
    <w:p w:rsidR="0067760C" w:rsidRPr="00E65CD3" w:rsidRDefault="0067760C" w:rsidP="0067760C">
      <w:pPr>
        <w:pStyle w:val="a3"/>
        <w:numPr>
          <w:ilvl w:val="0"/>
          <w:numId w:val="1"/>
        </w:numPr>
        <w:jc w:val="both"/>
        <w:rPr>
          <w:b/>
        </w:rPr>
      </w:pPr>
      <w:r w:rsidRPr="00E65CD3">
        <w:rPr>
          <w:b/>
        </w:rPr>
        <w:t xml:space="preserve">Можно ли открыть индивидуальный пенсионный счет несовершеннолетнему? </w:t>
      </w:r>
    </w:p>
    <w:p w:rsidR="006055CF" w:rsidRPr="00E65CD3" w:rsidRDefault="006055CF" w:rsidP="006055CF">
      <w:pPr>
        <w:pStyle w:val="a6"/>
        <w:jc w:val="both"/>
        <w:rPr>
          <w:rFonts w:ascii="Times New Roman" w:eastAsiaTheme="minorHAnsi" w:hAnsi="Times New Roman"/>
          <w:color w:val="000000"/>
          <w:sz w:val="24"/>
          <w:szCs w:val="24"/>
          <w:lang w:eastAsia="ru-RU"/>
        </w:rPr>
      </w:pPr>
    </w:p>
    <w:p w:rsidR="006055CF" w:rsidRPr="00E65CD3" w:rsidRDefault="006055CF" w:rsidP="006055CF">
      <w:pPr>
        <w:pStyle w:val="a6"/>
        <w:jc w:val="both"/>
        <w:rPr>
          <w:rFonts w:ascii="Times New Roman" w:eastAsiaTheme="minorHAnsi" w:hAnsi="Times New Roman"/>
          <w:color w:val="000000"/>
          <w:sz w:val="24"/>
          <w:szCs w:val="24"/>
          <w:lang w:eastAsia="ru-RU"/>
        </w:rPr>
      </w:pPr>
      <w:r w:rsidRPr="00E65CD3">
        <w:rPr>
          <w:rFonts w:ascii="Times New Roman" w:eastAsiaTheme="minorHAnsi" w:hAnsi="Times New Roman"/>
          <w:color w:val="000000"/>
          <w:sz w:val="24"/>
          <w:szCs w:val="24"/>
          <w:lang w:eastAsia="ru-RU"/>
        </w:rPr>
        <w:t>В соответствии со статьей 30 Кодекса заключение трудового договора допускается с лицами, достигшими шестнадцатилетнего возраста. Но с письменного согласия одного из родителей, опекуна, попечителя или усыновителя заключить договор можно и раньше. С 15 лет ребенку позволяется работать, если он уже получил основное среднее образование, с 14 лет – только в том, случае, если работа в свободное от учебы время не вредит здоровью и не нарушает процесс обучения. А дети до 14 лет могут выступать в театре и сниматься в кино, но тоже при условии, что это в свободное от занятий время,  не вредно для здоровья и нравственного развития ребенка. Вместе с подписью несовершеннолетнего на трудовом договоре, также обязательна подпись его законного представителя!</w:t>
      </w:r>
    </w:p>
    <w:p w:rsidR="006055CF" w:rsidRPr="00E65CD3" w:rsidRDefault="006055CF" w:rsidP="006055CF">
      <w:pPr>
        <w:pStyle w:val="a6"/>
        <w:jc w:val="both"/>
        <w:rPr>
          <w:rFonts w:ascii="Times New Roman" w:eastAsiaTheme="minorHAnsi" w:hAnsi="Times New Roman"/>
          <w:color w:val="000000"/>
          <w:sz w:val="24"/>
          <w:szCs w:val="24"/>
          <w:lang w:eastAsia="ru-RU"/>
        </w:rPr>
      </w:pPr>
    </w:p>
    <w:p w:rsidR="006055CF" w:rsidRPr="00E65CD3" w:rsidRDefault="006055CF" w:rsidP="006055CF">
      <w:pPr>
        <w:pStyle w:val="a6"/>
        <w:jc w:val="both"/>
        <w:rPr>
          <w:rFonts w:ascii="Times New Roman" w:eastAsiaTheme="minorHAnsi" w:hAnsi="Times New Roman"/>
          <w:color w:val="000000"/>
          <w:sz w:val="24"/>
          <w:szCs w:val="24"/>
          <w:lang w:eastAsia="ru-RU"/>
        </w:rPr>
      </w:pPr>
      <w:r w:rsidRPr="00E65CD3">
        <w:rPr>
          <w:rFonts w:ascii="Times New Roman" w:eastAsiaTheme="minorHAnsi" w:hAnsi="Times New Roman"/>
          <w:color w:val="000000"/>
          <w:sz w:val="24"/>
          <w:szCs w:val="24"/>
          <w:lang w:eastAsia="ru-RU"/>
        </w:rPr>
        <w:t xml:space="preserve">ЕНПФ напоминает, что работодатель, выплачивая заработную плату в соответствии с трудовым договором, обязан уплачивать за несовершеннолетнего пенсионные взносы на его индивидуальный пенсионный счет (ИПС). </w:t>
      </w:r>
    </w:p>
    <w:p w:rsidR="006055CF" w:rsidRPr="00E65CD3" w:rsidRDefault="006055CF" w:rsidP="006055CF">
      <w:pPr>
        <w:pStyle w:val="a6"/>
        <w:jc w:val="both"/>
        <w:rPr>
          <w:rFonts w:ascii="Times New Roman" w:eastAsiaTheme="minorHAnsi" w:hAnsi="Times New Roman"/>
          <w:color w:val="000000"/>
          <w:sz w:val="24"/>
          <w:szCs w:val="24"/>
          <w:lang w:eastAsia="ru-RU"/>
        </w:rPr>
      </w:pPr>
    </w:p>
    <w:p w:rsidR="006055CF" w:rsidRPr="00E65CD3" w:rsidRDefault="006055CF" w:rsidP="006055CF">
      <w:pPr>
        <w:pStyle w:val="a6"/>
        <w:jc w:val="both"/>
        <w:rPr>
          <w:rFonts w:ascii="Times New Roman" w:eastAsiaTheme="minorHAnsi" w:hAnsi="Times New Roman"/>
          <w:color w:val="000000"/>
          <w:sz w:val="24"/>
          <w:szCs w:val="24"/>
          <w:lang w:eastAsia="ru-RU"/>
        </w:rPr>
      </w:pPr>
      <w:r w:rsidRPr="00E65CD3">
        <w:rPr>
          <w:rFonts w:ascii="Times New Roman" w:eastAsiaTheme="minorHAnsi" w:hAnsi="Times New Roman"/>
          <w:color w:val="000000"/>
          <w:sz w:val="24"/>
          <w:szCs w:val="24"/>
          <w:lang w:eastAsia="ru-RU"/>
        </w:rPr>
        <w:t>Для оформления заявления об открытии ИПС за счет обязательных пенсионных взносов при обращении несовершеннолетнего в Фонд представляются следующие документы:</w:t>
      </w:r>
    </w:p>
    <w:p w:rsidR="006055CF" w:rsidRPr="00E65CD3" w:rsidRDefault="006055CF" w:rsidP="006055CF">
      <w:pPr>
        <w:pStyle w:val="a6"/>
        <w:numPr>
          <w:ilvl w:val="0"/>
          <w:numId w:val="4"/>
        </w:numPr>
        <w:jc w:val="both"/>
        <w:rPr>
          <w:rFonts w:ascii="Times New Roman" w:eastAsiaTheme="minorHAnsi" w:hAnsi="Times New Roman"/>
          <w:color w:val="000000"/>
          <w:sz w:val="24"/>
          <w:szCs w:val="24"/>
          <w:lang w:eastAsia="ru-RU"/>
        </w:rPr>
      </w:pPr>
      <w:r w:rsidRPr="00E65CD3">
        <w:rPr>
          <w:rFonts w:ascii="Times New Roman" w:eastAsiaTheme="minorHAnsi" w:hAnsi="Times New Roman"/>
          <w:color w:val="000000"/>
          <w:sz w:val="24"/>
          <w:szCs w:val="24"/>
          <w:lang w:eastAsia="ru-RU"/>
        </w:rPr>
        <w:t>оригинал свидетельства о рождении и документа, удостоверяющего личность несовершеннолетнего лица (если такой уже имеется);</w:t>
      </w:r>
    </w:p>
    <w:p w:rsidR="006055CF" w:rsidRPr="00E65CD3" w:rsidRDefault="006055CF" w:rsidP="006055CF">
      <w:pPr>
        <w:pStyle w:val="a6"/>
        <w:numPr>
          <w:ilvl w:val="0"/>
          <w:numId w:val="4"/>
        </w:numPr>
        <w:jc w:val="both"/>
        <w:rPr>
          <w:rFonts w:ascii="Times New Roman" w:eastAsiaTheme="minorHAnsi" w:hAnsi="Times New Roman"/>
          <w:color w:val="000000"/>
          <w:sz w:val="24"/>
          <w:szCs w:val="24"/>
          <w:lang w:eastAsia="ru-RU"/>
        </w:rPr>
      </w:pPr>
      <w:r w:rsidRPr="00E65CD3">
        <w:rPr>
          <w:rFonts w:ascii="Times New Roman" w:eastAsiaTheme="minorHAnsi" w:hAnsi="Times New Roman"/>
          <w:color w:val="000000"/>
          <w:sz w:val="24"/>
          <w:szCs w:val="24"/>
          <w:lang w:eastAsia="ru-RU"/>
        </w:rPr>
        <w:t>оригинал документа, удостоверяющего личность законного представителя;</w:t>
      </w:r>
    </w:p>
    <w:p w:rsidR="006055CF" w:rsidRPr="00E65CD3" w:rsidRDefault="006055CF" w:rsidP="006055CF">
      <w:pPr>
        <w:pStyle w:val="a6"/>
        <w:numPr>
          <w:ilvl w:val="0"/>
          <w:numId w:val="4"/>
        </w:numPr>
        <w:jc w:val="both"/>
        <w:rPr>
          <w:rFonts w:ascii="Times New Roman" w:eastAsiaTheme="minorHAnsi" w:hAnsi="Times New Roman"/>
          <w:color w:val="000000"/>
          <w:sz w:val="24"/>
          <w:szCs w:val="24"/>
          <w:lang w:eastAsia="ru-RU"/>
        </w:rPr>
      </w:pPr>
      <w:r w:rsidRPr="00E65CD3">
        <w:rPr>
          <w:rFonts w:ascii="Times New Roman" w:eastAsiaTheme="minorHAnsi" w:hAnsi="Times New Roman"/>
          <w:color w:val="000000"/>
          <w:sz w:val="24"/>
          <w:szCs w:val="24"/>
          <w:lang w:eastAsia="ru-RU"/>
        </w:rPr>
        <w:lastRenderedPageBreak/>
        <w:t>оригинал документа, подтверждающего назначение опеки/попечительства при отсутствии родителей (справки о назначении опекуна либо договора о передаче ребенка на воспитание под патронат).</w:t>
      </w:r>
    </w:p>
    <w:p w:rsidR="006055CF" w:rsidRPr="00E65CD3" w:rsidRDefault="006055CF" w:rsidP="006055C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055CF" w:rsidRPr="00E65CD3" w:rsidRDefault="006055CF" w:rsidP="006055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65C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Личная подпись законного представителя обязательна в заявлении от лица в возрасте до 14 лет. Лицам от 14 до 18 лет к заявлению достаточно приложить письменное согласие законного представителя. </w:t>
      </w:r>
    </w:p>
    <w:p w:rsidR="006055CF" w:rsidRPr="00E65CD3" w:rsidRDefault="006055CF" w:rsidP="006055C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055CF" w:rsidRPr="00E65CD3" w:rsidRDefault="006055CF" w:rsidP="006055CF">
      <w:pPr>
        <w:pStyle w:val="a6"/>
        <w:jc w:val="both"/>
        <w:rPr>
          <w:rFonts w:ascii="Times New Roman" w:eastAsiaTheme="minorHAnsi" w:hAnsi="Times New Roman"/>
          <w:color w:val="000000"/>
          <w:sz w:val="24"/>
          <w:szCs w:val="24"/>
          <w:lang w:eastAsia="ru-RU"/>
        </w:rPr>
      </w:pPr>
      <w:r w:rsidRPr="00E65CD3">
        <w:rPr>
          <w:rFonts w:ascii="Times New Roman" w:eastAsiaTheme="minorHAnsi" w:hAnsi="Times New Roman"/>
          <w:color w:val="000000"/>
          <w:sz w:val="24"/>
          <w:szCs w:val="24"/>
          <w:lang w:eastAsia="ru-RU"/>
        </w:rPr>
        <w:t>Кроме открытия ИПС за счет обязательных пенсионных взносов, несовершеннолетние могут заключить и договор о пенсионном обеспечении за счет добровольных пенсионных взносов. Ставка взносов, порядок уплаты и последующей выплаты из сформированных накоплений устанавливаются по соглашению сторон.</w:t>
      </w:r>
    </w:p>
    <w:p w:rsidR="006055CF" w:rsidRPr="00E65CD3" w:rsidRDefault="006055CF" w:rsidP="006055CF">
      <w:pPr>
        <w:pStyle w:val="a6"/>
        <w:jc w:val="both"/>
        <w:rPr>
          <w:rFonts w:ascii="Times New Roman" w:eastAsiaTheme="minorHAnsi" w:hAnsi="Times New Roman"/>
          <w:color w:val="000000"/>
          <w:sz w:val="24"/>
          <w:szCs w:val="24"/>
          <w:lang w:eastAsia="ru-RU"/>
        </w:rPr>
      </w:pPr>
    </w:p>
    <w:p w:rsidR="0067760C" w:rsidRPr="00E65CD3" w:rsidRDefault="0067760C" w:rsidP="00415A54">
      <w:pPr>
        <w:pStyle w:val="a3"/>
        <w:numPr>
          <w:ilvl w:val="0"/>
          <w:numId w:val="1"/>
        </w:numPr>
        <w:jc w:val="both"/>
        <w:rPr>
          <w:b/>
        </w:rPr>
      </w:pPr>
      <w:r w:rsidRPr="00E65CD3">
        <w:rPr>
          <w:b/>
        </w:rPr>
        <w:t xml:space="preserve">Я гражданин Казахстана, но работаю в иностранной компании. Обязан ли мой работодатель делать отчисления в </w:t>
      </w:r>
      <w:proofErr w:type="gramStart"/>
      <w:r w:rsidRPr="00E65CD3">
        <w:rPr>
          <w:b/>
        </w:rPr>
        <w:t>мою</w:t>
      </w:r>
      <w:proofErr w:type="gramEnd"/>
      <w:r w:rsidRPr="00E65CD3">
        <w:rPr>
          <w:b/>
        </w:rPr>
        <w:t xml:space="preserve"> пользую?</w:t>
      </w:r>
    </w:p>
    <w:p w:rsidR="00D30A61" w:rsidRPr="00E65CD3" w:rsidRDefault="00D30A61" w:rsidP="00D30A61">
      <w:pPr>
        <w:pStyle w:val="a3"/>
        <w:ind w:left="142"/>
        <w:jc w:val="both"/>
      </w:pPr>
      <w:r w:rsidRPr="00E65CD3">
        <w:t>В соответствии с пунктом 1 статьи 24 Закона Республики Казахстан «О пенсионном обеспечении в Республике Казахстан» обязательные пенсионные взносы в ЕНПФ подлежат уплате агентами по ставкам, определяемым Законом.</w:t>
      </w:r>
    </w:p>
    <w:p w:rsidR="00D30A61" w:rsidRPr="00E65CD3" w:rsidRDefault="00D30A61" w:rsidP="00D30A61">
      <w:pPr>
        <w:pStyle w:val="a3"/>
        <w:ind w:left="142"/>
        <w:jc w:val="both"/>
      </w:pPr>
      <w:proofErr w:type="gramStart"/>
      <w:r w:rsidRPr="00E65CD3">
        <w:t>При этом подпунктом 28) статьи 1 Закона установлено, что агентом по уплате обязательных пенсионных взносов является физическое или юридическое лицо, включая иностранное юридическое лицо, осуществляющее деятельность в Республике Казахстан через постоянное учреждение, филиалы, представительства иностранных юридических лиц, исчисляющие, удерживающие (начисляющие) и перечисляющие обязательные пенсионные взносы в ЕНПФ, в порядке, определяемом законодательством Республики Казахстан.</w:t>
      </w:r>
      <w:proofErr w:type="gramEnd"/>
    </w:p>
    <w:p w:rsidR="00D30A61" w:rsidRPr="00E65CD3" w:rsidRDefault="00D30A61" w:rsidP="00D30A61">
      <w:pPr>
        <w:pStyle w:val="a3"/>
        <w:ind w:left="142"/>
        <w:jc w:val="both"/>
      </w:pPr>
      <w:r w:rsidRPr="00E65CD3">
        <w:t>Если иностранная компания расположена на территории РК, то она является агентом по уплате обязательных пенсионных взносов, соответственно, у агента возникает обязанность по удержанию и перечислению обязательных пенсионных взносов с Вашего ежемесячного дохода.</w:t>
      </w:r>
    </w:p>
    <w:p w:rsidR="00D30A61" w:rsidRPr="00E65CD3" w:rsidRDefault="00D30A61" w:rsidP="00D30A61">
      <w:pPr>
        <w:pStyle w:val="a3"/>
        <w:ind w:left="142"/>
        <w:jc w:val="both"/>
      </w:pPr>
      <w:r w:rsidRPr="00E65CD3">
        <w:t>При этом граждане РК, работающие в представительствах международных организаций в Республике Казахстан, дипломатических представительствах и консульских учреждениях иностранных государств, аккредитованных в Республике Казахстан, вправе участвовать в правоотношениях по уплате обязательных пенсионных взносов и самостоятельно осуществлять обязательные пенсионные взносы в ЕНПФ.</w:t>
      </w:r>
    </w:p>
    <w:p w:rsidR="00D30A61" w:rsidRPr="00E65CD3" w:rsidRDefault="00D30A61" w:rsidP="00D30A61">
      <w:pPr>
        <w:pStyle w:val="a3"/>
        <w:ind w:left="1080"/>
        <w:jc w:val="both"/>
      </w:pPr>
    </w:p>
    <w:p w:rsidR="00D30A61" w:rsidRPr="00E65CD3" w:rsidRDefault="00D30A61" w:rsidP="00D30A61">
      <w:pPr>
        <w:pStyle w:val="a3"/>
        <w:ind w:left="1080"/>
        <w:jc w:val="both"/>
        <w:rPr>
          <w:b/>
        </w:rPr>
      </w:pPr>
    </w:p>
    <w:p w:rsidR="0067760C" w:rsidRPr="00E65CD3" w:rsidRDefault="0067760C" w:rsidP="008301F6">
      <w:pPr>
        <w:pStyle w:val="a3"/>
        <w:numPr>
          <w:ilvl w:val="0"/>
          <w:numId w:val="1"/>
        </w:numPr>
        <w:jc w:val="both"/>
        <w:rPr>
          <w:b/>
        </w:rPr>
      </w:pPr>
      <w:r w:rsidRPr="00E65CD3">
        <w:rPr>
          <w:b/>
        </w:rPr>
        <w:t xml:space="preserve">Говорят, что при реформировании пенсионной системы нашей страны за образец была взята Чилийская модель. Почему именно она, а не какая-то другая? </w:t>
      </w:r>
    </w:p>
    <w:p w:rsidR="00A91386" w:rsidRPr="00E65CD3" w:rsidRDefault="00A91386" w:rsidP="009634E2">
      <w:pPr>
        <w:jc w:val="both"/>
        <w:rPr>
          <w:sz w:val="24"/>
          <w:szCs w:val="24"/>
        </w:rPr>
      </w:pPr>
    </w:p>
    <w:p w:rsidR="009634E2" w:rsidRPr="00E65CD3" w:rsidRDefault="00A91386" w:rsidP="009634E2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65C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Реформы в каждой стране проводятся по-своему с учетом демографических, культурных, социальных, политических, финансовых особенностей и возможностей. </w:t>
      </w:r>
      <w:r w:rsidR="00462DDB" w:rsidRPr="00E65C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 примеру, о</w:t>
      </w:r>
      <w:r w:rsidRPr="00E65C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сновной характерной чертой чилийской реформы стала замена приобретенных прав на пенсии по прежней системе,</w:t>
      </w:r>
      <w:r w:rsidRPr="00E65CD3">
        <w:rPr>
          <w:sz w:val="24"/>
          <w:szCs w:val="24"/>
        </w:rPr>
        <w:t xml:space="preserve"> </w:t>
      </w:r>
      <w:r w:rsidRPr="00E65C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основанной на принципе «солидарности поколений», в гарантированную государством выплату и введение обязательного накопительного страхования работников в нескольких частных конкурирующих компаниях, организованных на тот момент времени. Основным моментом, который был заимствован у Чили, стал </w:t>
      </w:r>
      <w:r w:rsidR="009634E2" w:rsidRPr="00E65C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переход от государственной солидарной системы пенсионного обеспечения к накопительной пенсионной системе с фиксированными обязательными взносами и добровольными дополнительными вкладами.</w:t>
      </w:r>
      <w:r w:rsidRPr="00E65C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Надо сказать, что </w:t>
      </w:r>
      <w:r w:rsidR="00F86722" w:rsidRPr="00E65C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proofErr w:type="gramStart"/>
      <w:r w:rsidR="00F86722" w:rsidRPr="00E65C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было и нет</w:t>
      </w:r>
      <w:proofErr w:type="gramEnd"/>
      <w:r w:rsidR="00F86722" w:rsidRPr="00E65C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«механического» копирования</w:t>
      </w:r>
      <w:r w:rsidR="00D30A61" w:rsidRPr="00E65C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С</w:t>
      </w:r>
      <w:r w:rsidR="00F86722" w:rsidRPr="00E65C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пециалистами активно изучается международный опыт, отбирается самое лучшее в пенсионных системах различных стран, только то, что с успехом уже используется в мировой практике, затем тщательно анализируется и потом уже внедряется у нас в Казахстане. Так, например, в скором будущем планируется внедрять условно-накопительн</w:t>
      </w:r>
      <w:r w:rsidR="00FD5001" w:rsidRPr="00E65C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F86722" w:rsidRPr="00E65C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D5001" w:rsidRPr="00E65C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компонент</w:t>
      </w:r>
      <w:r w:rsidR="00F86722" w:rsidRPr="00E65C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основу для которо</w:t>
      </w:r>
      <w:r w:rsidR="00FD5001" w:rsidRPr="00E65C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F86722" w:rsidRPr="00E65C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мы позаимствовали у Швеции.</w:t>
      </w:r>
    </w:p>
    <w:p w:rsidR="0067760C" w:rsidRPr="00E65CD3" w:rsidRDefault="0067760C" w:rsidP="0067760C">
      <w:pPr>
        <w:pStyle w:val="a3"/>
        <w:numPr>
          <w:ilvl w:val="0"/>
          <w:numId w:val="1"/>
        </w:numPr>
        <w:jc w:val="both"/>
        <w:rPr>
          <w:b/>
        </w:rPr>
      </w:pPr>
      <w:r w:rsidRPr="00E65CD3">
        <w:rPr>
          <w:b/>
        </w:rPr>
        <w:lastRenderedPageBreak/>
        <w:t>Как гарантируют сохранность накоплений в мире и в Казахстане?</w:t>
      </w:r>
    </w:p>
    <w:p w:rsidR="002D0DF1" w:rsidRPr="00E65CD3" w:rsidRDefault="002D0DF1" w:rsidP="002D0DF1">
      <w:pPr>
        <w:pStyle w:val="a3"/>
        <w:ind w:left="142"/>
        <w:jc w:val="both"/>
        <w:rPr>
          <w:rStyle w:val="s0"/>
          <w:sz w:val="24"/>
          <w:szCs w:val="24"/>
        </w:rPr>
      </w:pPr>
      <w:r w:rsidRPr="00E65CD3">
        <w:rPr>
          <w:rStyle w:val="s0"/>
          <w:sz w:val="24"/>
          <w:szCs w:val="24"/>
        </w:rPr>
        <w:t xml:space="preserve">Казахстанская накопительная система отличается уникальной системой государственной гарантии сохранности пенсионных накоплений. </w:t>
      </w:r>
    </w:p>
    <w:p w:rsidR="002D0DF1" w:rsidRPr="00E65CD3" w:rsidRDefault="002D0DF1" w:rsidP="002D0DF1">
      <w:pPr>
        <w:pStyle w:val="a3"/>
        <w:ind w:left="142"/>
        <w:jc w:val="both"/>
        <w:rPr>
          <w:rStyle w:val="s0"/>
          <w:sz w:val="24"/>
          <w:szCs w:val="24"/>
        </w:rPr>
      </w:pPr>
      <w:r w:rsidRPr="00E65CD3">
        <w:rPr>
          <w:rStyle w:val="s0"/>
          <w:sz w:val="24"/>
          <w:szCs w:val="24"/>
        </w:rPr>
        <w:t xml:space="preserve">В соответствии со статьей 5 Закона Республики Казахстан «О пенсионном обеспечении в Республике Казахстан», государство гарантирует получателям сохранность обязательных пенсионных взносов и обязательных профессиональных пенсионных взносов в ЕНПФ в размере фактически внесенных взносов с учетом уровня инфляции на момент получения права на пенсионные выплаты.  Когда человек выходит на пенсию, производится расчет доходности на его индивидуальном пенсионном счете в соотношении с уровнем инфляции за весь период нахождения в накопительной пенсионной системе. Если доходность пенсионных накоплений за весь период нахождения в накопительной пенсионной </w:t>
      </w:r>
      <w:proofErr w:type="gramStart"/>
      <w:r w:rsidRPr="00E65CD3">
        <w:rPr>
          <w:rStyle w:val="s0"/>
          <w:sz w:val="24"/>
          <w:szCs w:val="24"/>
        </w:rPr>
        <w:t>системе</w:t>
      </w:r>
      <w:proofErr w:type="gramEnd"/>
      <w:r w:rsidRPr="00E65CD3">
        <w:rPr>
          <w:rStyle w:val="s0"/>
          <w:sz w:val="24"/>
          <w:szCs w:val="24"/>
        </w:rPr>
        <w:t xml:space="preserve"> ниже уровня инфляции, государство выплачивает эту разницу получателю за счет средств республиканского бюджета. Т.е. накопления вкладчиков надежно защищены вне зависимости от того, как будут развиваться события на финансовых рынках и складываться ситуация с инвестиционным доходом.</w:t>
      </w:r>
    </w:p>
    <w:p w:rsidR="002D0DF1" w:rsidRPr="00E65CD3" w:rsidRDefault="002D0DF1" w:rsidP="002D0DF1">
      <w:pPr>
        <w:pStyle w:val="a3"/>
        <w:ind w:left="142"/>
        <w:jc w:val="both"/>
        <w:rPr>
          <w:rStyle w:val="s0"/>
          <w:sz w:val="24"/>
          <w:szCs w:val="24"/>
        </w:rPr>
      </w:pPr>
      <w:r w:rsidRPr="00E65CD3">
        <w:rPr>
          <w:rStyle w:val="s0"/>
          <w:sz w:val="24"/>
          <w:szCs w:val="24"/>
        </w:rPr>
        <w:t xml:space="preserve">Такой гарантии нет в других странах. К примеру, в Чехии, Японии и Словакии управляющие компании гарантируют сохранность только номинальной стоимости взносов или нулевую инвестиционную доходность без учета инфляции. В Германии пенсионные фонды гарантируют только ставку 2,25% к внесенным взносам к дате выхода на пенсию. Управляющие пенсионными активами в Чили обеспечивают сохранность в зависимости от типа выбранного фонда, но не ниже 2% средневзвешенной реальной доходности </w:t>
      </w:r>
      <w:proofErr w:type="gramStart"/>
      <w:r w:rsidRPr="00E65CD3">
        <w:rPr>
          <w:rStyle w:val="s0"/>
          <w:sz w:val="24"/>
          <w:szCs w:val="24"/>
        </w:rPr>
        <w:t>за</w:t>
      </w:r>
      <w:proofErr w:type="gramEnd"/>
      <w:r w:rsidRPr="00E65CD3">
        <w:rPr>
          <w:rStyle w:val="s0"/>
          <w:sz w:val="24"/>
          <w:szCs w:val="24"/>
        </w:rPr>
        <w:t xml:space="preserve"> предыдущие 36 месяцев. В таких странах, как Швеция, Австралия, Израиль, Норвегия, Мексика, Эстония вообще нет гарантии сохранности.  </w:t>
      </w:r>
    </w:p>
    <w:p w:rsidR="002D0DF1" w:rsidRPr="00E65CD3" w:rsidRDefault="002D0DF1" w:rsidP="002D0DF1">
      <w:pPr>
        <w:pStyle w:val="a3"/>
        <w:ind w:left="1080"/>
        <w:jc w:val="both"/>
        <w:rPr>
          <w:b/>
        </w:rPr>
      </w:pPr>
    </w:p>
    <w:p w:rsidR="00E65CD3" w:rsidRPr="00E65CD3" w:rsidRDefault="00E65CD3" w:rsidP="00E65CD3">
      <w:pPr>
        <w:pStyle w:val="a7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E65CD3" w:rsidRPr="00E65CD3" w:rsidRDefault="00E65CD3" w:rsidP="00E65CD3">
      <w:pPr>
        <w:pStyle w:val="a7"/>
        <w:ind w:left="720"/>
        <w:jc w:val="right"/>
        <w:rPr>
          <w:rFonts w:ascii="Times New Roman" w:hAnsi="Times New Roman"/>
          <w:sz w:val="24"/>
          <w:szCs w:val="24"/>
        </w:rPr>
      </w:pPr>
      <w:r w:rsidRPr="00E65CD3">
        <w:rPr>
          <w:rFonts w:ascii="Times New Roman" w:hAnsi="Times New Roman"/>
          <w:b/>
          <w:sz w:val="24"/>
          <w:szCs w:val="24"/>
        </w:rPr>
        <w:t>Пресс-центр АО «ЕНПФ»</w:t>
      </w:r>
    </w:p>
    <w:p w:rsidR="00E65CD3" w:rsidRDefault="00E65CD3" w:rsidP="002D0DF1">
      <w:pPr>
        <w:pStyle w:val="a3"/>
        <w:ind w:left="1080"/>
        <w:jc w:val="both"/>
        <w:rPr>
          <w:b/>
          <w:sz w:val="28"/>
          <w:szCs w:val="28"/>
        </w:rPr>
      </w:pPr>
    </w:p>
    <w:sectPr w:rsidR="00E65CD3" w:rsidSect="00922D5C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656ED"/>
    <w:multiLevelType w:val="hybridMultilevel"/>
    <w:tmpl w:val="A538C5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E329C8"/>
    <w:multiLevelType w:val="hybridMultilevel"/>
    <w:tmpl w:val="6DFCB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0E7311"/>
    <w:multiLevelType w:val="hybridMultilevel"/>
    <w:tmpl w:val="6986C7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760C"/>
    <w:rsid w:val="002031E1"/>
    <w:rsid w:val="00234CC6"/>
    <w:rsid w:val="002871DB"/>
    <w:rsid w:val="002D0DF1"/>
    <w:rsid w:val="00320857"/>
    <w:rsid w:val="0044417A"/>
    <w:rsid w:val="00462DDB"/>
    <w:rsid w:val="00580C2A"/>
    <w:rsid w:val="005A76A5"/>
    <w:rsid w:val="005C2F82"/>
    <w:rsid w:val="005C5498"/>
    <w:rsid w:val="006055CF"/>
    <w:rsid w:val="0067760C"/>
    <w:rsid w:val="008003E2"/>
    <w:rsid w:val="008301F6"/>
    <w:rsid w:val="008A074E"/>
    <w:rsid w:val="00922D5C"/>
    <w:rsid w:val="009327FC"/>
    <w:rsid w:val="009634E2"/>
    <w:rsid w:val="00A91386"/>
    <w:rsid w:val="00C55D2E"/>
    <w:rsid w:val="00CC5058"/>
    <w:rsid w:val="00D30A61"/>
    <w:rsid w:val="00E1794B"/>
    <w:rsid w:val="00E65CD3"/>
    <w:rsid w:val="00F54935"/>
    <w:rsid w:val="00F86722"/>
    <w:rsid w:val="00FD5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60C"/>
    <w:pPr>
      <w:spacing w:after="0" w:line="240" w:lineRule="auto"/>
      <w:ind w:left="720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C5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C5058"/>
    <w:rPr>
      <w:b/>
      <w:bCs/>
    </w:rPr>
  </w:style>
  <w:style w:type="paragraph" w:styleId="a6">
    <w:name w:val="No Spacing"/>
    <w:uiPriority w:val="1"/>
    <w:qFormat/>
    <w:rsid w:val="006055C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0">
    <w:name w:val="s0"/>
    <w:rsid w:val="00FD500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7">
    <w:name w:val="Plain Text"/>
    <w:basedOn w:val="a"/>
    <w:link w:val="a8"/>
    <w:uiPriority w:val="99"/>
    <w:unhideWhenUsed/>
    <w:rsid w:val="00E65CD3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8">
    <w:name w:val="Текст Знак"/>
    <w:basedOn w:val="a0"/>
    <w:link w:val="a7"/>
    <w:uiPriority w:val="99"/>
    <w:rsid w:val="00E65CD3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9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Бердыгулова Дана Кайратовна</dc:creator>
  <cp:keywords/>
  <dc:description/>
  <cp:lastModifiedBy>a.sagieva</cp:lastModifiedBy>
  <cp:revision>7</cp:revision>
  <dcterms:created xsi:type="dcterms:W3CDTF">2017-09-20T06:02:00Z</dcterms:created>
  <dcterms:modified xsi:type="dcterms:W3CDTF">2018-02-16T08:08:00Z</dcterms:modified>
</cp:coreProperties>
</file>