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CD" w:rsidRDefault="00800BCD" w:rsidP="008A466A">
      <w:pPr>
        <w:jc w:val="both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val="kk-KZ" w:eastAsia="ru-RU"/>
        </w:rPr>
      </w:pPr>
    </w:p>
    <w:p w:rsidR="00412DDC" w:rsidRPr="002F38F9" w:rsidRDefault="00800BCD" w:rsidP="008A466A">
      <w:pPr>
        <w:jc w:val="both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val="kk-KZ" w:eastAsia="ru-RU"/>
        </w:rPr>
      </w:pPr>
      <w:r w:rsidRPr="002F38F9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3D0DCF" w:rsidRPr="002F38F9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val="kk-KZ" w:eastAsia="ru-RU"/>
        </w:rPr>
        <w:t xml:space="preserve">«5 сауал» атты дәстүрлі </w:t>
      </w:r>
      <w:r w:rsidR="00C52010" w:rsidRPr="002F38F9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val="kk-KZ" w:eastAsia="ru-RU"/>
        </w:rPr>
        <w:t>айдарымызды</w:t>
      </w:r>
      <w:r w:rsidR="003D0DCF" w:rsidRPr="002F38F9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val="kk-KZ" w:eastAsia="ru-RU"/>
        </w:rPr>
        <w:t xml:space="preserve"> жалғастыра отырып, сіздердің назарларыңызға келесі ақпаратты ұсынамыз.</w:t>
      </w:r>
    </w:p>
    <w:p w:rsidR="00412DDC" w:rsidRPr="002F38F9" w:rsidRDefault="003D0DCF" w:rsidP="00412DDC">
      <w:pPr>
        <w:pStyle w:val="a4"/>
        <w:numPr>
          <w:ilvl w:val="0"/>
          <w:numId w:val="6"/>
        </w:numPr>
        <w:spacing w:line="240" w:lineRule="atLeast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38F9">
        <w:rPr>
          <w:rFonts w:ascii="Times New Roman" w:hAnsi="Times New Roman"/>
          <w:b/>
          <w:sz w:val="28"/>
          <w:szCs w:val="28"/>
          <w:lang w:val="kk-KZ"/>
        </w:rPr>
        <w:t>Салымшы (ал</w:t>
      </w:r>
      <w:r w:rsidR="00194CC2" w:rsidRPr="002F38F9">
        <w:rPr>
          <w:rFonts w:ascii="Times New Roman" w:hAnsi="Times New Roman"/>
          <w:b/>
          <w:sz w:val="28"/>
          <w:szCs w:val="28"/>
          <w:lang w:val="kk-KZ"/>
        </w:rPr>
        <w:t>у</w:t>
      </w:r>
      <w:r w:rsidRPr="002F38F9">
        <w:rPr>
          <w:rFonts w:ascii="Times New Roman" w:hAnsi="Times New Roman"/>
          <w:b/>
          <w:sz w:val="28"/>
          <w:szCs w:val="28"/>
          <w:lang w:val="kk-KZ"/>
        </w:rPr>
        <w:t>шы</w:t>
      </w:r>
      <w:r w:rsidR="00F51D69" w:rsidRPr="002F38F9">
        <w:rPr>
          <w:rFonts w:ascii="Times New Roman" w:hAnsi="Times New Roman"/>
          <w:b/>
          <w:sz w:val="28"/>
          <w:szCs w:val="28"/>
          <w:lang w:val="kk-KZ"/>
        </w:rPr>
        <w:t xml:space="preserve">) ЖЗШ-ның жай-күйі туралы ақпаратты қандай жиілікпен ала алады?   </w:t>
      </w:r>
    </w:p>
    <w:p w:rsidR="00F51D69" w:rsidRPr="002F38F9" w:rsidRDefault="00F51D69" w:rsidP="00412DD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>БЖЗҚ салымшыға (ал</w:t>
      </w:r>
      <w:r w:rsidR="00194CC2" w:rsidRPr="002F38F9">
        <w:rPr>
          <w:rFonts w:ascii="Times New Roman" w:hAnsi="Times New Roman"/>
          <w:sz w:val="28"/>
          <w:szCs w:val="28"/>
          <w:lang w:val="kk-KZ"/>
        </w:rPr>
        <w:t>у</w:t>
      </w:r>
      <w:r w:rsidRPr="002F38F9">
        <w:rPr>
          <w:rFonts w:ascii="Times New Roman" w:hAnsi="Times New Roman"/>
          <w:sz w:val="28"/>
          <w:szCs w:val="28"/>
          <w:lang w:val="kk-KZ"/>
        </w:rPr>
        <w:t>шыға) оның зейнетақы жинақтары туралы ақпаратты кем дегенде жылына бір рет, сондай-ақ оның сұрауы бойынша кез-келген күні, төлемақы ұстамай</w:t>
      </w:r>
      <w:r w:rsidR="001D1CE1" w:rsidRPr="002F38F9">
        <w:rPr>
          <w:rFonts w:ascii="Times New Roman" w:hAnsi="Times New Roman"/>
          <w:sz w:val="28"/>
          <w:szCs w:val="28"/>
          <w:lang w:val="kk-KZ"/>
        </w:rPr>
        <w:t>, яғни тегін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беруі тиіс. Сонымен қатар, оның зейнетақы жинақтары туралы ақпаратқа электрондық және басқа да </w:t>
      </w:r>
      <w:r w:rsidR="000F1A90"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D1CE1"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>хабарлан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дыру әдістеріне қолжетімділігін қамтамасыз етуге міндетті. </w:t>
      </w:r>
    </w:p>
    <w:p w:rsidR="00412DDC" w:rsidRPr="002F38F9" w:rsidRDefault="009E5B8C" w:rsidP="00412DD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01B78" w:rsidRPr="002F38F9" w:rsidRDefault="00F51D69" w:rsidP="00412DDC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 xml:space="preserve">Зейнетақы жинақтары туралы ақпарат </w:t>
      </w:r>
      <w:r w:rsidR="00601B78" w:rsidRPr="002F38F9">
        <w:rPr>
          <w:rFonts w:ascii="Times New Roman" w:hAnsi="Times New Roman"/>
          <w:sz w:val="28"/>
          <w:szCs w:val="28"/>
          <w:lang w:val="kk-KZ"/>
        </w:rPr>
        <w:t>салымшыға (ал</w:t>
      </w:r>
      <w:r w:rsidR="00EE23A9" w:rsidRPr="002F38F9">
        <w:rPr>
          <w:rFonts w:ascii="Times New Roman" w:hAnsi="Times New Roman"/>
          <w:sz w:val="28"/>
          <w:szCs w:val="28"/>
          <w:lang w:val="kk-KZ"/>
        </w:rPr>
        <w:t>у</w:t>
      </w:r>
      <w:r w:rsidR="00601B78" w:rsidRPr="002F38F9">
        <w:rPr>
          <w:rFonts w:ascii="Times New Roman" w:hAnsi="Times New Roman"/>
          <w:sz w:val="28"/>
          <w:szCs w:val="28"/>
          <w:lang w:val="kk-KZ"/>
        </w:rPr>
        <w:t xml:space="preserve">шыға) ол таңдаған 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>хабарла</w:t>
      </w:r>
      <w:r w:rsidR="00601B78" w:rsidRPr="002F38F9">
        <w:rPr>
          <w:rFonts w:ascii="Times New Roman" w:hAnsi="Times New Roman"/>
          <w:sz w:val="28"/>
          <w:szCs w:val="28"/>
          <w:lang w:val="kk-KZ"/>
        </w:rPr>
        <w:t>ндыру әдісімен жүргізіледі. Бұл үшін ал</w:t>
      </w:r>
      <w:r w:rsidR="00EE23A9" w:rsidRPr="002F38F9">
        <w:rPr>
          <w:rFonts w:ascii="Times New Roman" w:hAnsi="Times New Roman"/>
          <w:sz w:val="28"/>
          <w:szCs w:val="28"/>
          <w:lang w:val="kk-KZ"/>
        </w:rPr>
        <w:t>у</w:t>
      </w:r>
      <w:r w:rsidR="00601B78" w:rsidRPr="002F38F9">
        <w:rPr>
          <w:rFonts w:ascii="Times New Roman" w:hAnsi="Times New Roman"/>
          <w:sz w:val="28"/>
          <w:szCs w:val="28"/>
          <w:lang w:val="kk-KZ"/>
        </w:rPr>
        <w:t xml:space="preserve">шы (салымшы) келесі 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>хабарлан</w:t>
      </w:r>
      <w:r w:rsidR="00601B78" w:rsidRPr="002F38F9">
        <w:rPr>
          <w:rFonts w:ascii="Times New Roman" w:hAnsi="Times New Roman"/>
          <w:sz w:val="28"/>
          <w:szCs w:val="28"/>
          <w:lang w:val="kk-KZ"/>
        </w:rPr>
        <w:t xml:space="preserve">дыру әдістерінің бірін таңдауы тиіс: </w:t>
      </w:r>
    </w:p>
    <w:p w:rsidR="00412DDC" w:rsidRPr="002F38F9" w:rsidRDefault="001D1CE1" w:rsidP="00412DDC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75AC9" w:rsidRPr="002F38F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601B78" w:rsidRPr="002F38F9">
        <w:rPr>
          <w:rFonts w:ascii="Times New Roman" w:hAnsi="Times New Roman"/>
          <w:sz w:val="28"/>
          <w:szCs w:val="28"/>
          <w:lang w:val="kk-KZ"/>
        </w:rPr>
        <w:t>БЖЗҚ  офисіне жеке өзі келген жағдайда немесе Интернет арқылы байланысқа шыққан болса, салымшылардың  (ал</w:t>
      </w:r>
      <w:r w:rsidR="00EE23A9" w:rsidRPr="002F38F9">
        <w:rPr>
          <w:rFonts w:ascii="Times New Roman" w:hAnsi="Times New Roman"/>
          <w:sz w:val="28"/>
          <w:szCs w:val="28"/>
          <w:lang w:val="kk-KZ"/>
        </w:rPr>
        <w:t>у</w:t>
      </w:r>
      <w:r w:rsidR="00601B78" w:rsidRPr="002F38F9">
        <w:rPr>
          <w:rFonts w:ascii="Times New Roman" w:hAnsi="Times New Roman"/>
          <w:sz w:val="28"/>
          <w:szCs w:val="28"/>
          <w:lang w:val="kk-KZ"/>
        </w:rPr>
        <w:t xml:space="preserve">шылардың) </w:t>
      </w:r>
      <w:r w:rsidRPr="002F38F9">
        <w:rPr>
          <w:rFonts w:ascii="Times New Roman" w:hAnsi="Times New Roman"/>
          <w:sz w:val="28"/>
          <w:szCs w:val="28"/>
          <w:lang w:val="kk-KZ"/>
        </w:rPr>
        <w:t>ақпарат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>ты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 xml:space="preserve">қанша рет 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сұратуына шек қойылмаған </w:t>
      </w:r>
      <w:r w:rsidR="00412DDC" w:rsidRPr="002F38F9">
        <w:rPr>
          <w:rFonts w:ascii="Times New Roman" w:hAnsi="Times New Roman"/>
          <w:sz w:val="28"/>
          <w:szCs w:val="28"/>
          <w:lang w:val="kk-KZ"/>
        </w:rPr>
        <w:t>;</w:t>
      </w:r>
    </w:p>
    <w:p w:rsidR="00412DDC" w:rsidRPr="002F38F9" w:rsidRDefault="00C52010" w:rsidP="00412DDC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601B78" w:rsidRPr="002F38F9">
        <w:rPr>
          <w:rFonts w:ascii="Times New Roman" w:hAnsi="Times New Roman"/>
          <w:sz w:val="28"/>
          <w:szCs w:val="28"/>
          <w:lang w:val="kk-KZ"/>
        </w:rPr>
        <w:t>ЖЗШ ашуға жазылған арыздың реквизиттерінде немесе ақпараттандыру әдісін өзгерту</w:t>
      </w:r>
      <w:r w:rsidR="001D468B" w:rsidRPr="002F38F9">
        <w:rPr>
          <w:rFonts w:ascii="Times New Roman" w:hAnsi="Times New Roman"/>
          <w:sz w:val="28"/>
          <w:szCs w:val="28"/>
          <w:lang w:val="kk-KZ"/>
        </w:rPr>
        <w:t>/таңдау</w:t>
      </w:r>
      <w:r w:rsidR="00601B78" w:rsidRPr="002F38F9">
        <w:rPr>
          <w:rFonts w:ascii="Times New Roman" w:hAnsi="Times New Roman"/>
          <w:sz w:val="28"/>
          <w:szCs w:val="28"/>
          <w:lang w:val="kk-KZ"/>
        </w:rPr>
        <w:t xml:space="preserve"> туралы қосымша </w:t>
      </w:r>
      <w:r w:rsidR="001D468B" w:rsidRPr="002F38F9">
        <w:rPr>
          <w:rFonts w:ascii="Times New Roman" w:hAnsi="Times New Roman"/>
          <w:sz w:val="28"/>
          <w:szCs w:val="28"/>
          <w:lang w:val="kk-KZ"/>
        </w:rPr>
        <w:t>келісімде</w:t>
      </w:r>
      <w:r w:rsidR="00601B78" w:rsidRPr="002F38F9">
        <w:rPr>
          <w:rFonts w:ascii="Times New Roman" w:hAnsi="Times New Roman"/>
          <w:sz w:val="28"/>
          <w:szCs w:val="28"/>
          <w:lang w:val="kk-KZ"/>
        </w:rPr>
        <w:t xml:space="preserve"> көрсетілген электрондық поштаның мекен-жайына ақпарат таңдалып алынған</w:t>
      </w:r>
      <w:r w:rsidR="001D468B" w:rsidRPr="002F38F9">
        <w:rPr>
          <w:rFonts w:ascii="Times New Roman" w:hAnsi="Times New Roman"/>
          <w:sz w:val="28"/>
          <w:szCs w:val="28"/>
          <w:lang w:val="kk-KZ"/>
        </w:rPr>
        <w:t xml:space="preserve"> әдіс бойынша (ай сайын, тоқсан сайын, жарты жылда, бір жылда) бір мәрте;</w:t>
      </w:r>
    </w:p>
    <w:p w:rsidR="00872CA1" w:rsidRPr="002F38F9" w:rsidRDefault="00275AC9" w:rsidP="00C15B3E">
      <w:pPr>
        <w:tabs>
          <w:tab w:val="left" w:pos="7020"/>
        </w:tabs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D468B" w:rsidRPr="002F38F9">
        <w:rPr>
          <w:rFonts w:ascii="Times New Roman" w:hAnsi="Times New Roman"/>
          <w:sz w:val="28"/>
          <w:szCs w:val="28"/>
          <w:lang w:val="kk-KZ"/>
        </w:rPr>
        <w:t xml:space="preserve">пошта байланысы арқылы – жылына бір мәрте;  </w:t>
      </w:r>
    </w:p>
    <w:p w:rsidR="001D468B" w:rsidRPr="002F38F9" w:rsidRDefault="00412DDC" w:rsidP="00872CA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 xml:space="preserve">         - </w:t>
      </w:r>
      <w:r w:rsidR="00872CA1" w:rsidRPr="002F38F9">
        <w:rPr>
          <w:rFonts w:ascii="Times New Roman" w:eastAsiaTheme="minorHAnsi" w:hAnsi="Times New Roman"/>
          <w:sz w:val="28"/>
          <w:szCs w:val="28"/>
          <w:lang w:val="kk-KZ"/>
        </w:rPr>
        <w:t>интернет-</w:t>
      </w:r>
      <w:r w:rsidR="001D468B" w:rsidRPr="002F38F9">
        <w:rPr>
          <w:rFonts w:ascii="Times New Roman" w:eastAsiaTheme="minorHAnsi" w:hAnsi="Times New Roman"/>
          <w:sz w:val="28"/>
          <w:szCs w:val="28"/>
          <w:lang w:val="kk-KZ"/>
        </w:rPr>
        <w:t>ақп</w:t>
      </w:r>
      <w:r w:rsidR="001D1CE1" w:rsidRPr="002F38F9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1D468B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раттандыру – онлайн режимінде; ақпараттандырудың бұл әдісі арқылы жеке зейнетақы шоты </w:t>
      </w:r>
      <w:r w:rsidR="001D1CE1" w:rsidRPr="002F38F9">
        <w:rPr>
          <w:rFonts w:ascii="Times New Roman" w:eastAsiaTheme="minorHAnsi" w:hAnsi="Times New Roman"/>
          <w:sz w:val="28"/>
          <w:szCs w:val="28"/>
          <w:lang w:val="kk-KZ"/>
        </w:rPr>
        <w:t>бойынша</w:t>
      </w:r>
      <w:r w:rsidR="001D468B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 enpf.kz сайтындағы жеке кабинет арқылы ғана емес, смартфондар мен планшеттерге арналған ENPF мобильді қосымшасы арқылы да ақпарат алуға болады. Сонымен қатар, жеке зейнетақы шоты туралы электрондық үкіметтің сайтындағы «Әлеуметтік қамсыздандыру» </w:t>
      </w:r>
      <w:r w:rsidR="00C52010" w:rsidRPr="002F38F9">
        <w:rPr>
          <w:rFonts w:ascii="Times New Roman" w:eastAsiaTheme="minorHAnsi" w:hAnsi="Times New Roman"/>
          <w:sz w:val="28"/>
          <w:szCs w:val="28"/>
          <w:lang w:val="kk-KZ"/>
        </w:rPr>
        <w:t>-</w:t>
      </w:r>
      <w:r w:rsidR="001D468B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- «БЖЗҚ-ның зейнетақы шотынан үзінді-көшірме» бөлімінен ҚР электрондық үкімет порталында тіркеліп, электрондық сандық қолтаңба (ЭСҚ) болған жағдайда алуға болады.  </w:t>
      </w:r>
    </w:p>
    <w:p w:rsidR="001D468B" w:rsidRPr="002F38F9" w:rsidRDefault="001D468B" w:rsidP="00872CA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C15B3E" w:rsidRPr="002F38F9" w:rsidRDefault="001D468B" w:rsidP="00C15B3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38F9">
        <w:rPr>
          <w:rFonts w:ascii="Times New Roman" w:hAnsi="Times New Roman"/>
          <w:b/>
          <w:sz w:val="28"/>
          <w:szCs w:val="28"/>
          <w:lang w:val="kk-KZ"/>
        </w:rPr>
        <w:t>Салымшы (ал</w:t>
      </w:r>
      <w:r w:rsidR="00EE23A9" w:rsidRPr="002F38F9">
        <w:rPr>
          <w:rFonts w:ascii="Times New Roman" w:hAnsi="Times New Roman"/>
          <w:b/>
          <w:sz w:val="28"/>
          <w:szCs w:val="28"/>
          <w:lang w:val="kk-KZ"/>
        </w:rPr>
        <w:t>у</w:t>
      </w:r>
      <w:r w:rsidRPr="002F38F9">
        <w:rPr>
          <w:rFonts w:ascii="Times New Roman" w:hAnsi="Times New Roman"/>
          <w:b/>
          <w:sz w:val="28"/>
          <w:szCs w:val="28"/>
          <w:lang w:val="kk-KZ"/>
        </w:rPr>
        <w:t>шы) мекен-жайы өзгерген жағдайда бұл тура</w:t>
      </w:r>
      <w:r w:rsidR="001D1CE1" w:rsidRPr="002F38F9">
        <w:rPr>
          <w:rFonts w:ascii="Times New Roman" w:hAnsi="Times New Roman"/>
          <w:b/>
          <w:sz w:val="28"/>
          <w:szCs w:val="28"/>
          <w:lang w:val="kk-KZ"/>
        </w:rPr>
        <w:t>л</w:t>
      </w:r>
      <w:r w:rsidRPr="002F38F9">
        <w:rPr>
          <w:rFonts w:ascii="Times New Roman" w:hAnsi="Times New Roman"/>
          <w:b/>
          <w:sz w:val="28"/>
          <w:szCs w:val="28"/>
          <w:lang w:val="kk-KZ"/>
        </w:rPr>
        <w:t xml:space="preserve">ы БЖЗҚ-ын ескертуге міндетті ме? </w:t>
      </w:r>
      <w:r w:rsidR="00632144" w:rsidRPr="002F38F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632144" w:rsidRPr="002F38F9" w:rsidRDefault="00632144" w:rsidP="00632144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>2013 жылдың  21 маусымында қабылданған № 105-V «ҚР зейнетақымен қамтамасыз ету туралы» Заңының 39 бабы 4 тармағы 1) тармақшасына сәйкес,  міндетті зейнетақы жарналары, міндетті кәсіби зейнетақы жарналарын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>ың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сал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>ым</w:t>
      </w:r>
      <w:r w:rsidRPr="002F38F9">
        <w:rPr>
          <w:rFonts w:ascii="Times New Roman" w:hAnsi="Times New Roman"/>
          <w:sz w:val="28"/>
          <w:szCs w:val="28"/>
          <w:lang w:val="kk-KZ"/>
        </w:rPr>
        <w:t>шылар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>ы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мен БЖЗҚ-ның ал</w:t>
      </w:r>
      <w:r w:rsidR="00EE23A9" w:rsidRPr="002F38F9">
        <w:rPr>
          <w:rFonts w:ascii="Times New Roman" w:hAnsi="Times New Roman"/>
          <w:sz w:val="28"/>
          <w:szCs w:val="28"/>
          <w:lang w:val="kk-KZ"/>
        </w:rPr>
        <w:t>у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шылары Қазақстан Республикасының Үкіметі бекіткен тәртіпке сай БЖЗҚ-ны Қор міндеттемелерін орындауға 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>ықпал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ететін барлық өзгерістер туралы бұл өзгерістер туындаған сәттен бастап</w:t>
      </w:r>
      <w:r w:rsidR="00C52010" w:rsidRPr="002F38F9">
        <w:rPr>
          <w:rFonts w:ascii="Times New Roman" w:hAnsi="Times New Roman"/>
          <w:sz w:val="28"/>
          <w:szCs w:val="28"/>
          <w:lang w:val="kk-KZ"/>
        </w:rPr>
        <w:t>,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он күнтізбелік күн ішінде ескертуі тиіс. </w:t>
      </w:r>
    </w:p>
    <w:p w:rsidR="00872CA1" w:rsidRPr="002F38F9" w:rsidRDefault="00C52010" w:rsidP="00632144">
      <w:pPr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>Бұған</w:t>
      </w:r>
      <w:r w:rsidR="00632144" w:rsidRPr="002F38F9">
        <w:rPr>
          <w:rFonts w:ascii="Times New Roman" w:hAnsi="Times New Roman"/>
          <w:sz w:val="28"/>
          <w:szCs w:val="28"/>
          <w:lang w:val="kk-KZ"/>
        </w:rPr>
        <w:t xml:space="preserve"> салымшы  тиісті </w:t>
      </w:r>
      <w:r w:rsidRPr="002F38F9">
        <w:rPr>
          <w:rFonts w:ascii="Times New Roman" w:hAnsi="Times New Roman"/>
          <w:sz w:val="28"/>
          <w:szCs w:val="28"/>
          <w:lang w:val="kk-KZ"/>
        </w:rPr>
        <w:t>хабарлан</w:t>
      </w:r>
      <w:r w:rsidR="00632144" w:rsidRPr="002F38F9">
        <w:rPr>
          <w:rFonts w:ascii="Times New Roman" w:hAnsi="Times New Roman"/>
          <w:sz w:val="28"/>
          <w:szCs w:val="28"/>
          <w:lang w:val="kk-KZ"/>
        </w:rPr>
        <w:t xml:space="preserve">дыру тәсілін таңдаған болса, </w:t>
      </w:r>
      <w:r w:rsidR="00DE386C" w:rsidRPr="002F38F9">
        <w:rPr>
          <w:rFonts w:ascii="Times New Roman" w:hAnsi="Times New Roman"/>
          <w:sz w:val="28"/>
          <w:szCs w:val="28"/>
          <w:lang w:val="kk-KZ"/>
        </w:rPr>
        <w:t>электрондық және пошта мекен-жайы</w:t>
      </w:r>
      <w:r w:rsidRPr="002F38F9">
        <w:rPr>
          <w:rFonts w:ascii="Times New Roman" w:hAnsi="Times New Roman"/>
          <w:sz w:val="28"/>
          <w:szCs w:val="28"/>
          <w:lang w:val="kk-KZ"/>
        </w:rPr>
        <w:t>н өзгерту</w:t>
      </w:r>
      <w:r w:rsidR="00DE386C" w:rsidRPr="002F38F9">
        <w:rPr>
          <w:rFonts w:ascii="Times New Roman" w:hAnsi="Times New Roman"/>
          <w:sz w:val="28"/>
          <w:szCs w:val="28"/>
          <w:lang w:val="kk-KZ"/>
        </w:rPr>
        <w:t xml:space="preserve"> жатады</w:t>
      </w:r>
      <w:r w:rsidR="00C15B3E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 xml:space="preserve">. </w:t>
      </w:r>
    </w:p>
    <w:p w:rsidR="00872CA1" w:rsidRPr="002F38F9" w:rsidRDefault="00DE386C" w:rsidP="00872CA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2F38F9">
        <w:rPr>
          <w:rFonts w:ascii="Times New Roman" w:eastAsiaTheme="minorHAnsi" w:hAnsi="Times New Roman"/>
          <w:sz w:val="28"/>
          <w:szCs w:val="28"/>
          <w:lang w:val="kk-KZ"/>
        </w:rPr>
        <w:t>1</w:t>
      </w:r>
      <w:r w:rsidR="00872CA1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) </w:t>
      </w:r>
      <w:r w:rsidR="00524493" w:rsidRPr="002F38F9">
        <w:rPr>
          <w:rFonts w:ascii="Times New Roman" w:eastAsiaTheme="minorHAnsi" w:hAnsi="Times New Roman"/>
          <w:sz w:val="28"/>
          <w:szCs w:val="28"/>
          <w:lang w:val="kk-KZ"/>
        </w:rPr>
        <w:t>Зейнетақымен қамтамасыз ету келісім-шартта көрсетілген п</w:t>
      </w:r>
      <w:r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ошта мекен-жайының өзгергені туралы, егер Сіз «пошта арқылы» деген зейнетақы салымдары туралы </w:t>
      </w:r>
      <w:r w:rsidR="00524493" w:rsidRPr="002F38F9">
        <w:rPr>
          <w:rFonts w:ascii="Times New Roman" w:eastAsiaTheme="minorHAnsi" w:hAnsi="Times New Roman"/>
          <w:sz w:val="28"/>
          <w:szCs w:val="28"/>
          <w:lang w:val="kk-KZ"/>
        </w:rPr>
        <w:lastRenderedPageBreak/>
        <w:t>хабарлан</w:t>
      </w:r>
      <w:r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дыру </w:t>
      </w:r>
      <w:r w:rsidR="00EE23A9" w:rsidRPr="002F38F9">
        <w:rPr>
          <w:rFonts w:ascii="Times New Roman" w:eastAsiaTheme="minorHAnsi" w:hAnsi="Times New Roman"/>
          <w:sz w:val="28"/>
          <w:szCs w:val="28"/>
          <w:lang w:val="kk-KZ"/>
        </w:rPr>
        <w:t>тәсілін</w:t>
      </w:r>
      <w:r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 таңдаған болсаңыз, БЖЗҚ-на жеке өзіңіз барып немесе пошта байланысы арқылы, аты—жөніңіз, тегіңіз, туған жыл, ай-күніңіз, жеке идентификациялық номеріңіз (ЖИН) көрсетілген, жеке куәлігіңіздің көшірмесі салынған хабарлама арқылы ескерте аласыз.   </w:t>
      </w:r>
    </w:p>
    <w:p w:rsidR="00872CA1" w:rsidRPr="002F38F9" w:rsidRDefault="00DE386C" w:rsidP="00872CA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2F38F9">
        <w:rPr>
          <w:rFonts w:ascii="Times New Roman" w:eastAsiaTheme="minorHAnsi" w:hAnsi="Times New Roman"/>
          <w:sz w:val="28"/>
          <w:szCs w:val="28"/>
          <w:lang w:val="kk-KZ"/>
        </w:rPr>
        <w:t>2</w:t>
      </w:r>
      <w:r w:rsidR="00872CA1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) </w:t>
      </w:r>
      <w:r w:rsidRPr="002F38F9">
        <w:rPr>
          <w:rFonts w:ascii="Times New Roman" w:eastAsiaTheme="minorHAnsi" w:hAnsi="Times New Roman"/>
          <w:sz w:val="28"/>
          <w:szCs w:val="28"/>
          <w:lang w:val="kk-KZ"/>
        </w:rPr>
        <w:t>Зейнетақымен қамтамасыз ету туралы келісім</w:t>
      </w:r>
      <w:r w:rsidR="00A7303D" w:rsidRPr="002F38F9">
        <w:rPr>
          <w:rFonts w:ascii="Times New Roman" w:eastAsiaTheme="minorHAnsi" w:hAnsi="Times New Roman"/>
          <w:sz w:val="28"/>
          <w:szCs w:val="28"/>
          <w:lang w:val="kk-KZ"/>
        </w:rPr>
        <w:t>-шартта</w:t>
      </w:r>
      <w:r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 немесе </w:t>
      </w:r>
      <w:r w:rsidR="001470E0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ақпараттандыру әдісін белгілеу/өзгерту туралы қосымша келісімде ақпараттандыру әдісі ретінде «электрондық пошта (e-mail)» деп көрсеткен болсаңыз, </w:t>
      </w:r>
      <w:r w:rsidR="000F1A90" w:rsidRPr="002F38F9">
        <w:rPr>
          <w:rFonts w:ascii="Times New Roman" w:eastAsiaTheme="minorHAnsi" w:hAnsi="Times New Roman"/>
          <w:sz w:val="28"/>
          <w:szCs w:val="28"/>
          <w:lang w:val="kk-KZ"/>
        </w:rPr>
        <w:t>осы</w:t>
      </w:r>
      <w:r w:rsidR="001470E0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0F1A90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1470E0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электрондық мекен-жай өзгерген жағдайда,  </w:t>
      </w:r>
      <w:r w:rsidR="000F1A90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бұл туралы </w:t>
      </w:r>
      <w:r w:rsidR="001470E0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Қорды </w:t>
      </w:r>
      <w:r w:rsidR="000F1A90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1470E0" w:rsidRPr="002F38F9">
        <w:rPr>
          <w:rFonts w:ascii="Times New Roman" w:eastAsiaTheme="minorHAnsi" w:hAnsi="Times New Roman"/>
          <w:sz w:val="28"/>
          <w:szCs w:val="28"/>
          <w:lang w:val="kk-KZ"/>
        </w:rPr>
        <w:t xml:space="preserve"> ескертуіңіз керек. Көңіл аударатын жәйт, Сіз электрондық мекен-жайыңыздың өзгергені туралы тек ЖЗБҚ офисіне өзіңіз барып қана ескертуіңізге болады.  </w:t>
      </w:r>
    </w:p>
    <w:p w:rsidR="00C15B3E" w:rsidRPr="002F38F9" w:rsidRDefault="001470E0" w:rsidP="00C15B3E">
      <w:pPr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</w:pPr>
      <w:r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Егер салымшы (ал</w:t>
      </w:r>
      <w:r w:rsidR="00EE23A9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у</w:t>
      </w:r>
      <w:r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шы) өткен жылдың 31 желтоқсанына дейін тұрғылықты мекен-жайын өзгертіп, бұл туралы Қорды ескертпеген болса, 2017 жылға пошта арқылы жіберілген үзінді-көшірме БЖЗҚ-ға қайтып келеді. Сонымен қатар, қ</w:t>
      </w:r>
      <w:r w:rsidR="00524493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олданыстағы</w:t>
      </w:r>
      <w:r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 xml:space="preserve"> заңға сәйкес, БЖЗҚ келесі жылы үзінді-көшірмені пошта арқылы жөнелтпеуге қ</w:t>
      </w:r>
      <w:r w:rsidR="00524493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ұқылы</w:t>
      </w:r>
      <w:r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 xml:space="preserve">.  </w:t>
      </w:r>
    </w:p>
    <w:p w:rsidR="00C15B3E" w:rsidRPr="002F38F9" w:rsidRDefault="001470E0" w:rsidP="00C15B3E">
      <w:pPr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</w:pPr>
      <w:r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Егер ағымдағы жылдың 1 қаңтарына салымшының (ал</w:t>
      </w:r>
      <w:r w:rsidR="00EE23A9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у</w:t>
      </w:r>
      <w:r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 xml:space="preserve">шының)  тиісті жылдың 1 қаңтарына ЖЗШ-да қаржысы болмаса немесе оны </w:t>
      </w:r>
      <w:r w:rsidR="00A7303D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хабарлан</w:t>
      </w:r>
      <w:r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ды</w:t>
      </w:r>
      <w:r w:rsidR="000F1A90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ру әдісі туралы тиісті келісім жасалмаса</w:t>
      </w:r>
      <w:r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 xml:space="preserve">, БЖЗҚ оны </w:t>
      </w:r>
      <w:r w:rsidR="00B2643D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 xml:space="preserve">зейнетақы жинақтау шотының жай-күйі туралы </w:t>
      </w:r>
      <w:r w:rsidR="00A7303D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хабарландыр</w:t>
      </w:r>
      <w:r w:rsidR="00B2643D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мауға қ</w:t>
      </w:r>
      <w:r w:rsidR="00A7303D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ұқылы</w:t>
      </w:r>
      <w:r w:rsidR="00B2643D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 xml:space="preserve">.  БЖЗҚ мамандары салымшыларға өздерінің жеке мәліметтерін жаңартып, және/немесе </w:t>
      </w:r>
      <w:r w:rsidR="00A7303D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хабарлан</w:t>
      </w:r>
      <w:r w:rsidR="00B2643D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 xml:space="preserve">дырудың жаңа </w:t>
      </w:r>
      <w:r w:rsidR="00A7303D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>тәсілін</w:t>
      </w:r>
      <w:r w:rsidR="00B2643D" w:rsidRPr="002F38F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 xml:space="preserve"> таңдау үшін Қордың жеке қызмет көрсету орталықтарына баруға кеңес береді.   </w:t>
      </w:r>
    </w:p>
    <w:p w:rsidR="00BC5409" w:rsidRPr="002F38F9" w:rsidRDefault="00B2643D" w:rsidP="00BC540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38F9">
        <w:rPr>
          <w:rFonts w:ascii="Times New Roman" w:hAnsi="Times New Roman"/>
          <w:b/>
          <w:sz w:val="28"/>
          <w:szCs w:val="28"/>
          <w:lang w:val="kk-KZ"/>
        </w:rPr>
        <w:t xml:space="preserve">БЖЗҚ офисіне бармай –ақ реквизиттердегі мекен-жайды өзгертуге бола ма?  </w:t>
      </w:r>
    </w:p>
    <w:p w:rsidR="00BC5409" w:rsidRPr="002F38F9" w:rsidRDefault="00BC5409" w:rsidP="00BC540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86915" w:rsidRPr="002F38F9" w:rsidRDefault="00B2643D" w:rsidP="002B3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 xml:space="preserve">БЖЗҚ </w:t>
      </w:r>
      <w:r w:rsidR="005D30DE" w:rsidRPr="002F38F9">
        <w:rPr>
          <w:rFonts w:ascii="Times New Roman" w:hAnsi="Times New Roman"/>
          <w:sz w:val="28"/>
          <w:szCs w:val="28"/>
          <w:lang w:val="kk-KZ"/>
        </w:rPr>
        <w:t xml:space="preserve"> 2017 </w:t>
      </w:r>
      <w:r w:rsidRPr="002F38F9">
        <w:rPr>
          <w:rFonts w:ascii="Times New Roman" w:hAnsi="Times New Roman"/>
          <w:sz w:val="28"/>
          <w:szCs w:val="28"/>
          <w:lang w:val="kk-KZ"/>
        </w:rPr>
        <w:t>жылы өзінің электрондық қызмет көрсету жүйесін кеңейтіп, салымшыларға Қор сайтындағы жеке кабинеті арқылы реквизиттеріне өзгеріс енгізуге мүмкіндік берді. Енді БЖЗҚ-ың автоматтандырылған ақпараттық жүйесінде тіркелген   реквизиттерді</w:t>
      </w:r>
      <w:r w:rsidR="00A7303D" w:rsidRPr="002F38F9">
        <w:rPr>
          <w:rFonts w:ascii="Times New Roman" w:hAnsi="Times New Roman"/>
          <w:sz w:val="28"/>
          <w:szCs w:val="28"/>
          <w:lang w:val="kk-KZ"/>
        </w:rPr>
        <w:t>ң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2F38F9">
        <w:rPr>
          <w:rFonts w:ascii="Times New Roman" w:hAnsi="Times New Roman"/>
          <w:i/>
          <w:sz w:val="28"/>
          <w:szCs w:val="28"/>
          <w:lang w:val="kk-KZ"/>
        </w:rPr>
        <w:t>жеке куәлі</w:t>
      </w:r>
      <w:r w:rsidR="00A7303D" w:rsidRPr="002F38F9">
        <w:rPr>
          <w:rFonts w:ascii="Times New Roman" w:hAnsi="Times New Roman"/>
          <w:i/>
          <w:sz w:val="28"/>
          <w:szCs w:val="28"/>
          <w:lang w:val="kk-KZ"/>
        </w:rPr>
        <w:t>к</w:t>
      </w:r>
      <w:r w:rsidRPr="002F38F9">
        <w:rPr>
          <w:rFonts w:ascii="Times New Roman" w:hAnsi="Times New Roman"/>
          <w:i/>
          <w:sz w:val="28"/>
          <w:szCs w:val="28"/>
          <w:lang w:val="kk-KZ"/>
        </w:rPr>
        <w:t xml:space="preserve"> туралы ақпарат, тұрғылықты жердің мекен-жайы, электрондық мекен-жай (e-mail), телефон номерлері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)   </w:t>
      </w:r>
      <w:r w:rsidR="00380F04" w:rsidRPr="002F38F9">
        <w:rPr>
          <w:rFonts w:ascii="Times New Roman" w:hAnsi="Times New Roman"/>
          <w:sz w:val="28"/>
          <w:szCs w:val="28"/>
          <w:lang w:val="kk-KZ"/>
        </w:rPr>
        <w:t xml:space="preserve">өзектілігін </w:t>
      </w:r>
      <w:r w:rsidR="00EF7999" w:rsidRPr="002F38F9">
        <w:rPr>
          <w:rFonts w:ascii="Times New Roman" w:hAnsi="Times New Roman"/>
          <w:sz w:val="28"/>
          <w:szCs w:val="28"/>
          <w:lang w:val="kk-KZ"/>
        </w:rPr>
        <w:t xml:space="preserve">электрондық сандық қолтаңбаның өзекті кілті бар жағдайда </w:t>
      </w:r>
      <w:r w:rsidR="00380F04" w:rsidRPr="002F38F9">
        <w:rPr>
          <w:rFonts w:ascii="Times New Roman" w:hAnsi="Times New Roman"/>
          <w:sz w:val="28"/>
          <w:szCs w:val="28"/>
          <w:lang w:val="kk-KZ"/>
        </w:rPr>
        <w:t>өз бет</w:t>
      </w:r>
      <w:r w:rsidR="00A7303D" w:rsidRPr="002F38F9">
        <w:rPr>
          <w:rFonts w:ascii="Times New Roman" w:hAnsi="Times New Roman"/>
          <w:sz w:val="28"/>
          <w:szCs w:val="28"/>
          <w:lang w:val="kk-KZ"/>
        </w:rPr>
        <w:t>інше</w:t>
      </w:r>
      <w:r w:rsidR="00380F04" w:rsidRPr="002F38F9">
        <w:rPr>
          <w:rFonts w:ascii="Times New Roman" w:hAnsi="Times New Roman"/>
          <w:sz w:val="28"/>
          <w:szCs w:val="28"/>
          <w:lang w:val="kk-KZ"/>
        </w:rPr>
        <w:t xml:space="preserve"> тексеріп, қажет жағдайда өзгерістер және (немесе) түзетулер  енгіз</w:t>
      </w:r>
      <w:r w:rsidR="00A7303D" w:rsidRPr="002F38F9">
        <w:rPr>
          <w:rFonts w:ascii="Times New Roman" w:hAnsi="Times New Roman"/>
          <w:sz w:val="28"/>
          <w:szCs w:val="28"/>
          <w:lang w:val="kk-KZ"/>
        </w:rPr>
        <w:t>уге болады</w:t>
      </w:r>
      <w:r w:rsidR="00380F04" w:rsidRPr="002F38F9">
        <w:rPr>
          <w:rFonts w:ascii="Times New Roman" w:hAnsi="Times New Roman"/>
          <w:sz w:val="28"/>
          <w:szCs w:val="28"/>
          <w:lang w:val="kk-KZ"/>
        </w:rPr>
        <w:t xml:space="preserve">.  Бұл үшін БЖЗҚ сайтындағы </w:t>
      </w:r>
      <w:r w:rsidR="004E12FE" w:rsidRPr="002F38F9">
        <w:rPr>
          <w:rFonts w:ascii="Times New Roman" w:hAnsi="Times New Roman"/>
          <w:sz w:val="28"/>
          <w:szCs w:val="28"/>
          <w:lang w:val="kk-KZ"/>
        </w:rPr>
        <w:t xml:space="preserve">«Электрондық сервистер» атты бөлімге кіріп, «Реквизиттерге өзгерістер және/немесе толықтырулар енгізу» атты электрондық қызметке жүгініп, </w:t>
      </w:r>
      <w:r w:rsidR="00EF7999" w:rsidRPr="002F38F9">
        <w:rPr>
          <w:rFonts w:ascii="Times New Roman" w:hAnsi="Times New Roman"/>
          <w:sz w:val="28"/>
          <w:szCs w:val="28"/>
          <w:lang w:val="kk-KZ"/>
        </w:rPr>
        <w:t>керекті</w:t>
      </w:r>
      <w:r w:rsidR="004E12FE" w:rsidRPr="002F38F9">
        <w:rPr>
          <w:rFonts w:ascii="Times New Roman" w:hAnsi="Times New Roman"/>
          <w:sz w:val="28"/>
          <w:szCs w:val="28"/>
          <w:lang w:val="kk-KZ"/>
        </w:rPr>
        <w:t xml:space="preserve"> өзерістерді енгізу қажет. </w:t>
      </w:r>
      <w:r w:rsidR="002B3C1B"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12FE"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B3C1B" w:rsidRPr="002F38F9" w:rsidRDefault="002B3C1B" w:rsidP="00BC5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2704E" w:rsidRPr="002F38F9" w:rsidRDefault="004E12FE" w:rsidP="0012704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38F9">
        <w:rPr>
          <w:rFonts w:ascii="Times New Roman" w:hAnsi="Times New Roman"/>
          <w:b/>
          <w:sz w:val="28"/>
          <w:szCs w:val="28"/>
          <w:lang w:val="kk-KZ"/>
        </w:rPr>
        <w:t>Егер зейнетақы қорымен келісім</w:t>
      </w:r>
      <w:r w:rsidR="00EF7999" w:rsidRPr="002F38F9">
        <w:rPr>
          <w:rFonts w:ascii="Times New Roman" w:hAnsi="Times New Roman"/>
          <w:b/>
          <w:sz w:val="28"/>
          <w:szCs w:val="28"/>
          <w:lang w:val="kk-KZ"/>
        </w:rPr>
        <w:t>-шарт</w:t>
      </w:r>
      <w:r w:rsidRPr="002F38F9">
        <w:rPr>
          <w:rFonts w:ascii="Times New Roman" w:hAnsi="Times New Roman"/>
          <w:b/>
          <w:sz w:val="28"/>
          <w:szCs w:val="28"/>
          <w:lang w:val="kk-KZ"/>
        </w:rPr>
        <w:t xml:space="preserve"> жеке куәлік негізінде жасалған болса,  ақпараттандыру әдісін өзгерту туралы қосымша келісімге қол қойған кезде ҚР азаматының төлқұжатын пайдалануға бола ма?  </w:t>
      </w:r>
    </w:p>
    <w:p w:rsidR="00044963" w:rsidRPr="002F38F9" w:rsidRDefault="00044963" w:rsidP="00044963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2704E" w:rsidRPr="002F38F9" w:rsidRDefault="004E12FE" w:rsidP="0012704E">
      <w:pPr>
        <w:tabs>
          <w:tab w:val="decimal" w:pos="-284"/>
          <w:tab w:val="left" w:pos="709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 xml:space="preserve">Иә, ҚР азаматының төлқұжатын </w:t>
      </w:r>
      <w:r w:rsidR="00F9547E" w:rsidRPr="002F38F9">
        <w:rPr>
          <w:rFonts w:ascii="Times New Roman" w:hAnsi="Times New Roman"/>
          <w:sz w:val="28"/>
          <w:szCs w:val="28"/>
          <w:lang w:val="kk-KZ"/>
        </w:rPr>
        <w:t>хабарлан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дыру </w:t>
      </w:r>
      <w:r w:rsidR="00F9547E" w:rsidRPr="002F38F9">
        <w:rPr>
          <w:rFonts w:ascii="Times New Roman" w:hAnsi="Times New Roman"/>
          <w:sz w:val="28"/>
          <w:szCs w:val="28"/>
          <w:lang w:val="kk-KZ"/>
        </w:rPr>
        <w:t>тәсілін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өзгерту/ белгілеу</w:t>
      </w:r>
      <w:r w:rsidR="000F1A90" w:rsidRPr="002F38F9">
        <w:rPr>
          <w:rFonts w:ascii="Times New Roman" w:hAnsi="Times New Roman"/>
          <w:sz w:val="28"/>
          <w:szCs w:val="28"/>
          <w:lang w:val="kk-KZ"/>
        </w:rPr>
        <w:t xml:space="preserve"> туралы  келісім</w:t>
      </w:r>
      <w:r w:rsidR="00EF7999" w:rsidRPr="002F38F9">
        <w:rPr>
          <w:rFonts w:ascii="Times New Roman" w:hAnsi="Times New Roman"/>
          <w:sz w:val="28"/>
          <w:szCs w:val="28"/>
          <w:lang w:val="kk-KZ"/>
        </w:rPr>
        <w:t xml:space="preserve">ге қол қою 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үшін </w:t>
      </w:r>
      <w:r w:rsidR="00F9547E" w:rsidRPr="002F38F9">
        <w:rPr>
          <w:rFonts w:ascii="Times New Roman" w:hAnsi="Times New Roman"/>
          <w:sz w:val="28"/>
          <w:szCs w:val="28"/>
          <w:lang w:val="kk-KZ"/>
        </w:rPr>
        <w:t>пайдалан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уға болады. </w:t>
      </w:r>
      <w:r w:rsidR="00F9547E" w:rsidRPr="002F38F9">
        <w:rPr>
          <w:rFonts w:ascii="Times New Roman" w:hAnsi="Times New Roman"/>
          <w:sz w:val="28"/>
          <w:szCs w:val="28"/>
          <w:lang w:val="kk-KZ"/>
        </w:rPr>
        <w:t>Бұл ретте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салымшының (ал</w:t>
      </w:r>
      <w:r w:rsidR="00F9547E" w:rsidRPr="002F38F9">
        <w:rPr>
          <w:rFonts w:ascii="Times New Roman" w:hAnsi="Times New Roman"/>
          <w:sz w:val="28"/>
          <w:szCs w:val="28"/>
          <w:lang w:val="kk-KZ"/>
        </w:rPr>
        <w:t>у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шының) негізгі </w:t>
      </w:r>
      <w:r w:rsidR="00F9547E" w:rsidRPr="002F38F9">
        <w:rPr>
          <w:rFonts w:ascii="Times New Roman" w:hAnsi="Times New Roman"/>
          <w:sz w:val="28"/>
          <w:szCs w:val="28"/>
          <w:lang w:val="kk-KZ"/>
        </w:rPr>
        <w:t>деректемелерінің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62DAE" w:rsidRPr="002F38F9">
        <w:rPr>
          <w:rFonts w:ascii="Times New Roman" w:hAnsi="Times New Roman"/>
          <w:sz w:val="28"/>
          <w:szCs w:val="28"/>
          <w:lang w:val="kk-KZ"/>
        </w:rPr>
        <w:t>сәйкест</w:t>
      </w:r>
      <w:r w:rsidR="00F9547E" w:rsidRPr="002F38F9">
        <w:rPr>
          <w:rFonts w:ascii="Times New Roman" w:hAnsi="Times New Roman"/>
          <w:sz w:val="28"/>
          <w:szCs w:val="28"/>
          <w:lang w:val="kk-KZ"/>
        </w:rPr>
        <w:t>ігі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9547E" w:rsidRPr="002F38F9">
        <w:rPr>
          <w:rFonts w:ascii="Times New Roman" w:hAnsi="Times New Roman"/>
          <w:sz w:val="28"/>
          <w:szCs w:val="28"/>
          <w:lang w:val="kk-KZ"/>
        </w:rPr>
        <w:t xml:space="preserve">салымшының бұрын жеке басты куәландыратын басқа құжат (әкесінің аты көрсетілген жеке куәлік, тұруға ықтиярхат) беруі </w:t>
      </w:r>
      <w:r w:rsidR="00F9547E" w:rsidRPr="002F38F9">
        <w:rPr>
          <w:rFonts w:ascii="Times New Roman" w:hAnsi="Times New Roman"/>
          <w:sz w:val="28"/>
          <w:szCs w:val="28"/>
          <w:lang w:val="kk-KZ"/>
        </w:rPr>
        <w:lastRenderedPageBreak/>
        <w:t>салдарынан пайда болған «әкесінің аты» деректемесіндегі алшақтықты есепке алмай-ақ тексеріледі</w:t>
      </w:r>
      <w:r w:rsidR="0012704E" w:rsidRPr="002F38F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.</w:t>
      </w:r>
    </w:p>
    <w:p w:rsidR="00256353" w:rsidRPr="002F38F9" w:rsidRDefault="00256353" w:rsidP="0012704E">
      <w:pPr>
        <w:tabs>
          <w:tab w:val="decimal" w:pos="-284"/>
          <w:tab w:val="left" w:pos="709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044963" w:rsidRPr="002F38F9" w:rsidRDefault="005F2361" w:rsidP="0004496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38F9">
        <w:rPr>
          <w:rFonts w:ascii="Times New Roman" w:hAnsi="Times New Roman"/>
          <w:b/>
          <w:sz w:val="28"/>
          <w:szCs w:val="28"/>
          <w:lang w:val="kk-KZ"/>
        </w:rPr>
        <w:t>ЖЗШ</w:t>
      </w:r>
      <w:r w:rsidR="000F1A90" w:rsidRPr="002F38F9">
        <w:rPr>
          <w:rFonts w:ascii="Times New Roman" w:hAnsi="Times New Roman"/>
          <w:b/>
          <w:sz w:val="28"/>
          <w:szCs w:val="28"/>
          <w:lang w:val="kk-KZ"/>
        </w:rPr>
        <w:t>-да</w:t>
      </w:r>
      <w:r w:rsidRPr="002F38F9">
        <w:rPr>
          <w:rFonts w:ascii="Times New Roman" w:hAnsi="Times New Roman"/>
          <w:b/>
          <w:sz w:val="28"/>
          <w:szCs w:val="28"/>
          <w:lang w:val="kk-KZ"/>
        </w:rPr>
        <w:t xml:space="preserve"> қалған қаржы </w:t>
      </w:r>
      <w:r w:rsidR="00F9547E" w:rsidRPr="002F38F9">
        <w:rPr>
          <w:rFonts w:ascii="Times New Roman" w:hAnsi="Times New Roman"/>
          <w:b/>
          <w:sz w:val="28"/>
          <w:szCs w:val="28"/>
          <w:lang w:val="kk-KZ"/>
        </w:rPr>
        <w:t>мен</w:t>
      </w:r>
      <w:r w:rsidRPr="002F38F9">
        <w:rPr>
          <w:rFonts w:ascii="Times New Roman" w:hAnsi="Times New Roman"/>
          <w:b/>
          <w:sz w:val="28"/>
          <w:szCs w:val="28"/>
          <w:lang w:val="kk-KZ"/>
        </w:rPr>
        <w:t xml:space="preserve"> о</w:t>
      </w:r>
      <w:r w:rsidR="00F9547E" w:rsidRPr="002F38F9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2F38F9">
        <w:rPr>
          <w:rFonts w:ascii="Times New Roman" w:hAnsi="Times New Roman"/>
          <w:b/>
          <w:sz w:val="28"/>
          <w:szCs w:val="28"/>
          <w:lang w:val="kk-KZ"/>
        </w:rPr>
        <w:t xml:space="preserve">ың </w:t>
      </w:r>
      <w:r w:rsidR="00F9547E" w:rsidRPr="002F38F9">
        <w:rPr>
          <w:rFonts w:ascii="Times New Roman" w:hAnsi="Times New Roman"/>
          <w:b/>
          <w:sz w:val="28"/>
          <w:szCs w:val="28"/>
          <w:lang w:val="kk-KZ"/>
        </w:rPr>
        <w:t>есеп-қисабы</w:t>
      </w:r>
      <w:r w:rsidRPr="002F38F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9547E" w:rsidRPr="002F38F9">
        <w:rPr>
          <w:rFonts w:ascii="Times New Roman" w:hAnsi="Times New Roman"/>
          <w:b/>
          <w:sz w:val="28"/>
          <w:szCs w:val="28"/>
          <w:lang w:val="kk-KZ"/>
        </w:rPr>
        <w:t xml:space="preserve"> туралы А</w:t>
      </w:r>
      <w:r w:rsidRPr="002F38F9">
        <w:rPr>
          <w:rFonts w:ascii="Times New Roman" w:hAnsi="Times New Roman"/>
          <w:b/>
          <w:sz w:val="28"/>
          <w:szCs w:val="28"/>
          <w:lang w:val="kk-KZ"/>
        </w:rPr>
        <w:t xml:space="preserve">нықтаманы кім талап ете алады?  </w:t>
      </w:r>
    </w:p>
    <w:p w:rsidR="00044963" w:rsidRPr="002F38F9" w:rsidRDefault="005F2361" w:rsidP="0004496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>Зейнетақы жинақтары туралы құпияны зейнетақы жарналарын аударып жүрген салымшыға, ал</w:t>
      </w:r>
      <w:r w:rsidR="00F9547E" w:rsidRPr="002F38F9">
        <w:rPr>
          <w:rFonts w:ascii="Times New Roman" w:hAnsi="Times New Roman"/>
          <w:sz w:val="28"/>
          <w:szCs w:val="28"/>
          <w:lang w:val="kk-KZ"/>
        </w:rPr>
        <w:t>у</w:t>
      </w:r>
      <w:r w:rsidRPr="002F38F9">
        <w:rPr>
          <w:rFonts w:ascii="Times New Roman" w:hAnsi="Times New Roman"/>
          <w:sz w:val="28"/>
          <w:szCs w:val="28"/>
          <w:lang w:val="kk-KZ"/>
        </w:rPr>
        <w:t>шыға немесе кез-келген үшінші тұлғаға тек салымшының (ал</w:t>
      </w:r>
      <w:r w:rsidR="00F9547E" w:rsidRPr="002F38F9">
        <w:rPr>
          <w:rFonts w:ascii="Times New Roman" w:hAnsi="Times New Roman"/>
          <w:sz w:val="28"/>
          <w:szCs w:val="28"/>
          <w:lang w:val="kk-KZ"/>
        </w:rPr>
        <w:t>у</w:t>
      </w:r>
      <w:r w:rsidRPr="002F38F9">
        <w:rPr>
          <w:rFonts w:ascii="Times New Roman" w:hAnsi="Times New Roman"/>
          <w:sz w:val="28"/>
          <w:szCs w:val="28"/>
          <w:lang w:val="kk-KZ"/>
        </w:rPr>
        <w:t>шының) Қазақстан Республикасының заңнамасына сәйкес рәсімделген жазбаша келісімі арқылы ғана бер</w:t>
      </w:r>
      <w:r w:rsidR="00462DAE" w:rsidRPr="002F38F9">
        <w:rPr>
          <w:rFonts w:ascii="Times New Roman" w:hAnsi="Times New Roman"/>
          <w:sz w:val="28"/>
          <w:szCs w:val="28"/>
          <w:lang w:val="kk-KZ"/>
        </w:rPr>
        <w:t>уге болады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.  </w:t>
      </w:r>
    </w:p>
    <w:p w:rsidR="00044963" w:rsidRPr="002F38F9" w:rsidRDefault="005F2361" w:rsidP="00044963">
      <w:pPr>
        <w:spacing w:line="240" w:lineRule="atLeast"/>
        <w:ind w:firstLine="425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>ЖЗШ</w:t>
      </w:r>
      <w:r w:rsidR="00875145" w:rsidRPr="002F38F9">
        <w:rPr>
          <w:rFonts w:ascii="Times New Roman" w:hAnsi="Times New Roman"/>
          <w:sz w:val="28"/>
          <w:szCs w:val="28"/>
          <w:lang w:val="kk-KZ"/>
        </w:rPr>
        <w:t>-да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қалған қаржы және олардың қозғалыстары туралы есеп туралы анықтама:    </w:t>
      </w:r>
    </w:p>
    <w:p w:rsidR="00044963" w:rsidRPr="002F38F9" w:rsidRDefault="00044963" w:rsidP="00044963">
      <w:pPr>
        <w:spacing w:line="240" w:lineRule="atLeast"/>
        <w:ind w:firstLine="425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5F2361" w:rsidRPr="002F38F9">
        <w:rPr>
          <w:rFonts w:ascii="Times New Roman" w:hAnsi="Times New Roman"/>
          <w:sz w:val="28"/>
          <w:szCs w:val="28"/>
          <w:lang w:val="kk-KZ"/>
        </w:rPr>
        <w:t xml:space="preserve">алдын-ала анықтау және алдын-ала тергеу органдарына олардың өндірісіндегі қылмыстық істерге қатысты;  </w:t>
      </w:r>
    </w:p>
    <w:p w:rsidR="00044963" w:rsidRPr="002F38F9" w:rsidRDefault="00044963" w:rsidP="0004496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 xml:space="preserve">       2) </w:t>
      </w:r>
      <w:r w:rsidR="005F2361" w:rsidRPr="002F38F9">
        <w:rPr>
          <w:rFonts w:ascii="Times New Roman" w:hAnsi="Times New Roman"/>
          <w:sz w:val="28"/>
          <w:szCs w:val="28"/>
          <w:lang w:val="kk-KZ"/>
        </w:rPr>
        <w:t xml:space="preserve">соттарға – сот ұйғарымы бойынша  олардың өндірісіндегі істерге қатысты;  </w:t>
      </w:r>
    </w:p>
    <w:p w:rsidR="00044963" w:rsidRPr="002F38F9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 xml:space="preserve">3) </w:t>
      </w:r>
      <w:r w:rsidR="005F2361" w:rsidRPr="002F38F9">
        <w:rPr>
          <w:rFonts w:ascii="Times New Roman" w:hAnsi="Times New Roman"/>
          <w:sz w:val="28"/>
          <w:szCs w:val="28"/>
          <w:lang w:val="kk-KZ"/>
        </w:rPr>
        <w:t xml:space="preserve">сот орындаушыларына – сот санкциясы бойынша 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 xml:space="preserve">сот орындаушысының қаулысы негізінде олардың өндірісіндегі атқару құжаттары негізінде;  </w:t>
      </w:r>
    </w:p>
    <w:p w:rsidR="00044963" w:rsidRPr="002F38F9" w:rsidRDefault="00044963" w:rsidP="00044963">
      <w:pPr>
        <w:spacing w:line="240" w:lineRule="atLeast"/>
        <w:ind w:firstLine="40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SUB570404"/>
      <w:bookmarkEnd w:id="0"/>
      <w:r w:rsidRPr="002F38F9">
        <w:rPr>
          <w:rFonts w:ascii="Times New Roman" w:hAnsi="Times New Roman"/>
          <w:sz w:val="28"/>
          <w:szCs w:val="28"/>
          <w:lang w:val="kk-KZ"/>
        </w:rPr>
        <w:t xml:space="preserve">4) 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 xml:space="preserve">мемлекеттік кіріс органдарына – тексеріліп жатқан тұлғаның  міндетті зейнетақы жарналарын, міндетті кәсіби зейнетақы жарналарын есептеу, ұстау, төлеу  </w:t>
      </w:r>
      <w:r w:rsidR="00875145" w:rsidRPr="002F38F9">
        <w:rPr>
          <w:rFonts w:ascii="Times New Roman" w:hAnsi="Times New Roman"/>
          <w:sz w:val="28"/>
          <w:szCs w:val="28"/>
          <w:lang w:val="kk-KZ"/>
        </w:rPr>
        <w:t>мәселелеріне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 xml:space="preserve"> байланысты;  </w:t>
      </w:r>
    </w:p>
    <w:p w:rsidR="00044963" w:rsidRPr="002F38F9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bookmarkStart w:id="1" w:name="SUB570405"/>
      <w:bookmarkEnd w:id="1"/>
      <w:r w:rsidRPr="002F38F9">
        <w:rPr>
          <w:rFonts w:ascii="Times New Roman" w:hAnsi="Times New Roman"/>
          <w:sz w:val="28"/>
          <w:szCs w:val="28"/>
          <w:lang w:val="kk-KZ"/>
        </w:rPr>
        <w:t xml:space="preserve">5) 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>өкілетті органға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>–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>салымшының (ал</w:t>
      </w:r>
      <w:r w:rsidR="00EE23A9" w:rsidRPr="002F38F9">
        <w:rPr>
          <w:rFonts w:ascii="Times New Roman" w:hAnsi="Times New Roman"/>
          <w:sz w:val="28"/>
          <w:szCs w:val="28"/>
          <w:lang w:val="kk-KZ"/>
        </w:rPr>
        <w:t>у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>шының) арызы</w:t>
      </w:r>
      <w:r w:rsidR="00194CC2" w:rsidRPr="002F38F9">
        <w:rPr>
          <w:rFonts w:ascii="Times New Roman" w:hAnsi="Times New Roman"/>
          <w:sz w:val="28"/>
          <w:szCs w:val="28"/>
          <w:lang w:val="kk-KZ"/>
        </w:rPr>
        <w:t>на немесе өкілетті органның Біры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>ңғай жинақтаушы зейнетақы қорының, Ерікті жинақтаушы зейнетақы қорының жұмысын тексеруіне байланысты   туындаған</w:t>
      </w:r>
      <w:r w:rsidR="00194CC2" w:rsidRPr="002F38F9">
        <w:rPr>
          <w:rFonts w:ascii="Times New Roman" w:hAnsi="Times New Roman"/>
          <w:sz w:val="28"/>
          <w:szCs w:val="28"/>
          <w:lang w:val="kk-KZ"/>
        </w:rPr>
        <w:t xml:space="preserve"> мәселелерге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 xml:space="preserve"> қатысты;  </w:t>
      </w:r>
    </w:p>
    <w:p w:rsidR="00044963" w:rsidRPr="002F38F9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bookmarkStart w:id="2" w:name="SUB570406"/>
      <w:bookmarkEnd w:id="2"/>
      <w:r w:rsidRPr="002F38F9">
        <w:rPr>
          <w:rFonts w:ascii="Times New Roman" w:hAnsi="Times New Roman"/>
          <w:sz w:val="28"/>
          <w:szCs w:val="28"/>
          <w:lang w:val="kk-KZ"/>
        </w:rPr>
        <w:t>6) прокурор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 xml:space="preserve">ға </w:t>
      </w:r>
      <w:r w:rsidRPr="002F38F9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 xml:space="preserve"> қарауындағы материалға қатысты оның өкілеттігі </w:t>
      </w:r>
      <w:r w:rsidR="00194CC2" w:rsidRPr="002F38F9">
        <w:rPr>
          <w:rFonts w:ascii="Times New Roman" w:hAnsi="Times New Roman"/>
          <w:sz w:val="28"/>
          <w:szCs w:val="28"/>
          <w:lang w:val="kk-KZ"/>
        </w:rPr>
        <w:t>аясында тексеру жүргізу туралы қ</w:t>
      </w:r>
      <w:r w:rsidR="000A0CBA" w:rsidRPr="002F38F9">
        <w:rPr>
          <w:rFonts w:ascii="Times New Roman" w:hAnsi="Times New Roman"/>
          <w:sz w:val="28"/>
          <w:szCs w:val="28"/>
          <w:lang w:val="kk-KZ"/>
        </w:rPr>
        <w:t xml:space="preserve">аулыға сәйкес;   </w:t>
      </w:r>
    </w:p>
    <w:p w:rsidR="00044963" w:rsidRPr="002F38F9" w:rsidRDefault="00EE23A9" w:rsidP="00F56ADE">
      <w:pPr>
        <w:rPr>
          <w:rFonts w:ascii="Times New Roman" w:hAnsi="Times New Roman"/>
          <w:sz w:val="28"/>
          <w:szCs w:val="28"/>
          <w:lang w:val="kk-KZ"/>
        </w:rPr>
      </w:pPr>
      <w:bookmarkStart w:id="3" w:name="SUB570407"/>
      <w:bookmarkEnd w:id="3"/>
      <w:r w:rsidRPr="002F38F9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044963" w:rsidRPr="002F38F9">
        <w:rPr>
          <w:rFonts w:ascii="Times New Roman" w:hAnsi="Times New Roman"/>
          <w:sz w:val="28"/>
          <w:szCs w:val="28"/>
          <w:lang w:val="kk-KZ"/>
        </w:rPr>
        <w:t xml:space="preserve">7) </w:t>
      </w:r>
      <w:r w:rsidR="00F56ADE" w:rsidRPr="002F38F9">
        <w:rPr>
          <w:rFonts w:ascii="Times New Roman" w:hAnsi="Times New Roman"/>
          <w:sz w:val="28"/>
          <w:szCs w:val="28"/>
          <w:lang w:val="kk-KZ"/>
        </w:rPr>
        <w:t xml:space="preserve">қаржылық мониторинг жөніндегі өкілетті органға –  </w:t>
      </w:r>
      <w:r w:rsidR="00194CC2" w:rsidRPr="002F38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>ҚР</w:t>
      </w:r>
      <w:r w:rsidR="00194CC2"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56ADE" w:rsidRPr="002F38F9">
        <w:rPr>
          <w:rFonts w:ascii="Times New Roman" w:hAnsi="Times New Roman"/>
          <w:sz w:val="28"/>
          <w:szCs w:val="28"/>
          <w:lang w:val="kk-KZ"/>
        </w:rPr>
        <w:t>«Қ</w:t>
      </w:r>
      <w:r w:rsidR="00F56ADE" w:rsidRPr="002F38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ылмыстық жолмен алынған  табыстарды </w:t>
      </w:r>
      <w:r w:rsidR="00194CC2" w:rsidRPr="002F38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>жариялауға</w:t>
      </w:r>
      <w:r w:rsidR="00F56ADE" w:rsidRPr="002F38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және </w:t>
      </w:r>
      <w:r w:rsidR="00194CC2" w:rsidRPr="002F38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>лаңкестікті</w:t>
      </w:r>
      <w:r w:rsidR="00F56ADE" w:rsidRPr="002F38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қаржыландыруға </w:t>
      </w:r>
      <w:r w:rsidR="00194CC2" w:rsidRPr="002F38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>тосқауыл қою</w:t>
      </w:r>
      <w:r w:rsidR="00F56ADE" w:rsidRPr="002F38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туралы» Заңында көрсетілген мақсаттарда және тәріпте;  </w:t>
      </w:r>
    </w:p>
    <w:p w:rsidR="00044963" w:rsidRPr="002F38F9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bookmarkStart w:id="4" w:name="SUB570408"/>
      <w:bookmarkEnd w:id="4"/>
      <w:r w:rsidRPr="002F38F9">
        <w:rPr>
          <w:rFonts w:ascii="Times New Roman" w:hAnsi="Times New Roman"/>
          <w:sz w:val="28"/>
          <w:szCs w:val="28"/>
          <w:lang w:val="kk-KZ"/>
        </w:rPr>
        <w:t xml:space="preserve">8) </w:t>
      </w:r>
      <w:r w:rsidR="00F56ADE" w:rsidRPr="002F38F9">
        <w:rPr>
          <w:rFonts w:ascii="Times New Roman" w:hAnsi="Times New Roman"/>
          <w:sz w:val="28"/>
          <w:szCs w:val="28"/>
          <w:lang w:val="kk-KZ"/>
        </w:rPr>
        <w:t>салымшының (ал</w:t>
      </w:r>
      <w:r w:rsidR="00EE23A9" w:rsidRPr="002F38F9">
        <w:rPr>
          <w:rFonts w:ascii="Times New Roman" w:hAnsi="Times New Roman"/>
          <w:sz w:val="28"/>
          <w:szCs w:val="28"/>
          <w:lang w:val="kk-KZ"/>
        </w:rPr>
        <w:t>у</w:t>
      </w:r>
      <w:r w:rsidR="00F56ADE" w:rsidRPr="002F38F9">
        <w:rPr>
          <w:rFonts w:ascii="Times New Roman" w:hAnsi="Times New Roman"/>
          <w:sz w:val="28"/>
          <w:szCs w:val="28"/>
          <w:lang w:val="kk-KZ"/>
        </w:rPr>
        <w:t xml:space="preserve">шының) өкілдеріне – нотариалды бекітілген сенімхат немесе сот шешімінің негізінде;  </w:t>
      </w:r>
    </w:p>
    <w:p w:rsidR="00774540" w:rsidRPr="002F38F9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bookmarkStart w:id="5" w:name="SUB570409"/>
      <w:bookmarkEnd w:id="5"/>
      <w:r w:rsidRPr="002F38F9">
        <w:rPr>
          <w:rFonts w:ascii="Times New Roman" w:hAnsi="Times New Roman"/>
          <w:sz w:val="28"/>
          <w:szCs w:val="28"/>
          <w:lang w:val="kk-KZ"/>
        </w:rPr>
        <w:t xml:space="preserve">9) 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>Орталыққа – міндетті зейнетақы қорлары, кәсіби міндетті зейнетақы қорлары бойынша салымшылардың (ал</w:t>
      </w:r>
      <w:r w:rsidR="00194CC2" w:rsidRPr="002F38F9">
        <w:rPr>
          <w:rFonts w:ascii="Times New Roman" w:hAnsi="Times New Roman"/>
          <w:sz w:val="28"/>
          <w:szCs w:val="28"/>
          <w:lang w:val="kk-KZ"/>
        </w:rPr>
        <w:t>у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>шылардың) мәліметтер базасын жасау және міндетті зейнетақы жарналары, кәсіби мінд</w:t>
      </w:r>
      <w:r w:rsidR="00194CC2" w:rsidRPr="002F38F9">
        <w:rPr>
          <w:rFonts w:ascii="Times New Roman" w:hAnsi="Times New Roman"/>
          <w:sz w:val="28"/>
          <w:szCs w:val="28"/>
          <w:lang w:val="kk-KZ"/>
        </w:rPr>
        <w:t>етті зейнетақы жарналарының біры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>ңғай жинақтаушы зейнетақы қорында сақталуын</w:t>
      </w:r>
      <w:r w:rsidR="007706F9" w:rsidRPr="002F38F9">
        <w:rPr>
          <w:rFonts w:ascii="Times New Roman" w:hAnsi="Times New Roman"/>
          <w:sz w:val="28"/>
          <w:szCs w:val="28"/>
          <w:lang w:val="kk-KZ"/>
        </w:rPr>
        <w:t>,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 xml:space="preserve"> салымшының зейнетақы төлемдеріне құқын алу сәтіне нақты салымдарының инфляция деңгейін ескере отырып</w:t>
      </w:r>
      <w:r w:rsidR="007706F9" w:rsidRPr="002F38F9">
        <w:rPr>
          <w:rFonts w:ascii="Times New Roman" w:hAnsi="Times New Roman"/>
          <w:sz w:val="28"/>
          <w:szCs w:val="28"/>
          <w:lang w:val="kk-KZ"/>
        </w:rPr>
        <w:t>,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 xml:space="preserve"> қамтамасыз ету мақсатында;  </w:t>
      </w:r>
    </w:p>
    <w:p w:rsidR="00044963" w:rsidRPr="002F38F9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bookmarkStart w:id="6" w:name="SUB570410"/>
      <w:bookmarkEnd w:id="6"/>
      <w:r w:rsidRPr="002F38F9">
        <w:rPr>
          <w:rFonts w:ascii="Times New Roman" w:hAnsi="Times New Roman"/>
          <w:sz w:val="28"/>
          <w:szCs w:val="28"/>
          <w:lang w:val="kk-KZ"/>
        </w:rPr>
        <w:t xml:space="preserve">10) 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>орталық атқарушы органға – салымшы (ал</w:t>
      </w:r>
      <w:r w:rsidR="00194CC2" w:rsidRPr="002F38F9">
        <w:rPr>
          <w:rFonts w:ascii="Times New Roman" w:hAnsi="Times New Roman"/>
          <w:sz w:val="28"/>
          <w:szCs w:val="28"/>
          <w:lang w:val="kk-KZ"/>
        </w:rPr>
        <w:t>у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 xml:space="preserve">шының) арызына байланысты туындаған </w:t>
      </w:r>
      <w:r w:rsidR="00194CC2" w:rsidRPr="002F38F9">
        <w:rPr>
          <w:rFonts w:ascii="Times New Roman" w:hAnsi="Times New Roman"/>
          <w:sz w:val="28"/>
          <w:szCs w:val="28"/>
          <w:lang w:val="kk-KZ"/>
        </w:rPr>
        <w:t>мәселелерге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 xml:space="preserve"> орай;  </w:t>
      </w:r>
    </w:p>
    <w:p w:rsidR="00044963" w:rsidRPr="002F38F9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bookmarkStart w:id="7" w:name="SUB570411"/>
      <w:bookmarkEnd w:id="7"/>
      <w:r w:rsidRPr="002F38F9">
        <w:rPr>
          <w:rFonts w:ascii="Times New Roman" w:hAnsi="Times New Roman"/>
          <w:sz w:val="28"/>
          <w:szCs w:val="28"/>
          <w:lang w:val="kk-KZ"/>
        </w:rPr>
        <w:t xml:space="preserve">11) </w:t>
      </w:r>
      <w:r w:rsidR="00194CC2" w:rsidRPr="002F38F9">
        <w:rPr>
          <w:rFonts w:ascii="Times New Roman" w:hAnsi="Times New Roman"/>
          <w:sz w:val="28"/>
          <w:szCs w:val="28"/>
          <w:lang w:val="kk-KZ"/>
        </w:rPr>
        <w:t>біры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 xml:space="preserve">ңғай жинақтаушы зейнетақы қоры мен ерікті жинақтаушы зейнетақы қорының жұмысына жыл сайын аудит жүргізетін аудиторлық ұйымдарға; </w:t>
      </w:r>
      <w:bookmarkStart w:id="8" w:name="SUB570412"/>
      <w:bookmarkEnd w:id="8"/>
      <w:r w:rsidR="00774540"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44963" w:rsidRPr="002F38F9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sz w:val="28"/>
          <w:szCs w:val="28"/>
          <w:lang w:val="kk-KZ"/>
        </w:rPr>
        <w:t>12)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 xml:space="preserve"> Халыққа қызмет ету орталықтарына – салымшыға (ал</w:t>
      </w:r>
      <w:r w:rsidR="00194CC2" w:rsidRPr="002F38F9">
        <w:rPr>
          <w:rFonts w:ascii="Times New Roman" w:hAnsi="Times New Roman"/>
          <w:sz w:val="28"/>
          <w:szCs w:val="28"/>
          <w:lang w:val="kk-KZ"/>
        </w:rPr>
        <w:t>у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>шыға)</w:t>
      </w:r>
      <w:r w:rsidR="00BF19F5" w:rsidRPr="002F38F9">
        <w:rPr>
          <w:rFonts w:ascii="Times New Roman" w:hAnsi="Times New Roman"/>
          <w:sz w:val="28"/>
          <w:szCs w:val="28"/>
          <w:lang w:val="kk-KZ"/>
        </w:rPr>
        <w:t xml:space="preserve"> немесе оның </w:t>
      </w:r>
      <w:r w:rsidR="00774540" w:rsidRPr="002F38F9">
        <w:rPr>
          <w:rFonts w:ascii="Times New Roman" w:hAnsi="Times New Roman"/>
          <w:sz w:val="28"/>
          <w:szCs w:val="28"/>
          <w:lang w:val="kk-KZ"/>
        </w:rPr>
        <w:t xml:space="preserve"> арызы бойынша</w:t>
      </w:r>
      <w:r w:rsidR="00BF19F5" w:rsidRPr="002F38F9">
        <w:rPr>
          <w:rFonts w:ascii="Times New Roman" w:hAnsi="Times New Roman"/>
          <w:sz w:val="28"/>
          <w:szCs w:val="28"/>
          <w:lang w:val="kk-KZ"/>
        </w:rPr>
        <w:t>, олардың өкіліне нотариалды бекітілген сенімхат бойынша немесе сот шешімі бойынша</w:t>
      </w:r>
      <w:r w:rsidR="007706F9" w:rsidRPr="002F38F9">
        <w:rPr>
          <w:rFonts w:ascii="Times New Roman" w:hAnsi="Times New Roman"/>
          <w:sz w:val="28"/>
          <w:szCs w:val="28"/>
          <w:lang w:val="kk-KZ"/>
        </w:rPr>
        <w:t>.</w:t>
      </w:r>
      <w:r w:rsidR="00BF19F5" w:rsidRPr="002F38F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44963" w:rsidRPr="002F38F9" w:rsidRDefault="00BF19F5" w:rsidP="00BF19F5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F38F9">
        <w:rPr>
          <w:rFonts w:ascii="Times New Roman" w:hAnsi="Times New Roman"/>
          <w:color w:val="000000"/>
          <w:sz w:val="28"/>
          <w:szCs w:val="28"/>
          <w:lang w:val="kk-KZ"/>
        </w:rPr>
        <w:t xml:space="preserve">Сонымен қатар, жеке зейнетақы шотының бар екендігі туралы, ондағы </w:t>
      </w:r>
      <w:r w:rsidR="00194CC2" w:rsidRPr="002F38F9">
        <w:rPr>
          <w:rFonts w:ascii="Times New Roman" w:hAnsi="Times New Roman"/>
          <w:color w:val="000000"/>
          <w:sz w:val="28"/>
          <w:szCs w:val="28"/>
          <w:lang w:val="kk-KZ"/>
        </w:rPr>
        <w:t xml:space="preserve">қалдық пен </w:t>
      </w:r>
      <w:r w:rsidRPr="002F38F9">
        <w:rPr>
          <w:rFonts w:ascii="Times New Roman" w:hAnsi="Times New Roman"/>
          <w:color w:val="000000"/>
          <w:sz w:val="28"/>
          <w:szCs w:val="28"/>
          <w:lang w:val="kk-KZ"/>
        </w:rPr>
        <w:t>қаражат қозғалысы туралы анықтама салымшы (ал</w:t>
      </w:r>
      <w:r w:rsidR="00194CC2" w:rsidRPr="002F38F9">
        <w:rPr>
          <w:rFonts w:ascii="Times New Roman" w:hAnsi="Times New Roman"/>
          <w:color w:val="000000"/>
          <w:sz w:val="28"/>
          <w:szCs w:val="28"/>
          <w:lang w:val="kk-KZ"/>
        </w:rPr>
        <w:t>у</w:t>
      </w:r>
      <w:r w:rsidRPr="002F38F9">
        <w:rPr>
          <w:rFonts w:ascii="Times New Roman" w:hAnsi="Times New Roman"/>
          <w:color w:val="000000"/>
          <w:sz w:val="28"/>
          <w:szCs w:val="28"/>
          <w:lang w:val="kk-KZ"/>
        </w:rPr>
        <w:t xml:space="preserve">шы) қайтыс болған жағдайда, </w:t>
      </w:r>
      <w:r w:rsidR="00D56141" w:rsidRPr="002F38F9">
        <w:rPr>
          <w:rFonts w:ascii="Times New Roman" w:hAnsi="Times New Roman"/>
          <w:color w:val="000000"/>
          <w:sz w:val="28"/>
          <w:szCs w:val="28"/>
          <w:lang w:val="kk-KZ"/>
        </w:rPr>
        <w:t xml:space="preserve">заң бойынша мұрагерлік құқығы туралы куәлікке сәйкес мұрагер болып табылатын </w:t>
      </w:r>
      <w:r w:rsidR="00FB2090" w:rsidRPr="002F38F9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азаматтарға </w:t>
      </w:r>
      <w:r w:rsidR="00D56141" w:rsidRPr="002F38F9">
        <w:rPr>
          <w:rFonts w:ascii="Times New Roman" w:hAnsi="Times New Roman"/>
          <w:color w:val="000000"/>
          <w:sz w:val="28"/>
          <w:szCs w:val="28"/>
          <w:lang w:val="kk-KZ"/>
        </w:rPr>
        <w:t xml:space="preserve">немесе </w:t>
      </w:r>
      <w:r w:rsidRPr="002F38F9">
        <w:rPr>
          <w:rFonts w:ascii="Times New Roman" w:hAnsi="Times New Roman"/>
          <w:color w:val="000000"/>
          <w:sz w:val="28"/>
          <w:szCs w:val="28"/>
          <w:lang w:val="kk-KZ"/>
        </w:rPr>
        <w:t>өсиет</w:t>
      </w:r>
      <w:r w:rsidR="007706F9" w:rsidRPr="002F38F9">
        <w:rPr>
          <w:rFonts w:ascii="Times New Roman" w:hAnsi="Times New Roman"/>
          <w:color w:val="000000"/>
          <w:sz w:val="28"/>
          <w:szCs w:val="28"/>
          <w:lang w:val="kk-KZ"/>
        </w:rPr>
        <w:t>хатта</w:t>
      </w:r>
      <w:r w:rsidRPr="002F38F9">
        <w:rPr>
          <w:rFonts w:ascii="Times New Roman" w:hAnsi="Times New Roman"/>
          <w:color w:val="000000"/>
          <w:sz w:val="28"/>
          <w:szCs w:val="28"/>
          <w:lang w:val="kk-KZ"/>
        </w:rPr>
        <w:t xml:space="preserve"> көрсетілген тұлғаларға олардың жазбаша арызы бойынша, соттарға - олардың өндірісіндегі мұрагерлік туралы істер бойынша беріледі.  </w:t>
      </w:r>
      <w:bookmarkStart w:id="9" w:name="SUB570401"/>
      <w:bookmarkStart w:id="10" w:name="SUB570402"/>
      <w:bookmarkStart w:id="11" w:name="SUB570403"/>
      <w:bookmarkEnd w:id="9"/>
      <w:bookmarkEnd w:id="10"/>
      <w:bookmarkEnd w:id="11"/>
      <w:r w:rsidRPr="002F38F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2E2A0E" w:rsidRPr="002F38F9" w:rsidRDefault="002E2A0E" w:rsidP="00256353">
      <w:pPr>
        <w:pStyle w:val="ac"/>
        <w:spacing w:after="0" w:afterAutospacing="0"/>
        <w:ind w:left="720"/>
        <w:contextualSpacing/>
        <w:jc w:val="right"/>
        <w:rPr>
          <w:bCs/>
          <w:sz w:val="28"/>
          <w:szCs w:val="28"/>
          <w:lang w:val="kk-KZ"/>
        </w:rPr>
      </w:pPr>
      <w:bookmarkStart w:id="12" w:name="_GoBack"/>
      <w:bookmarkEnd w:id="12"/>
      <w:r w:rsidRPr="002F38F9">
        <w:rPr>
          <w:b/>
          <w:color w:val="000000"/>
          <w:sz w:val="28"/>
          <w:szCs w:val="28"/>
          <w:lang w:val="kk-KZ"/>
        </w:rPr>
        <w:t>«БЖЗҚ» АҚ Баспасөз орталығы</w:t>
      </w:r>
    </w:p>
    <w:sectPr w:rsidR="002E2A0E" w:rsidRPr="002F38F9" w:rsidSect="009C238F">
      <w:pgSz w:w="11906" w:h="16838"/>
      <w:pgMar w:top="567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86D"/>
    <w:multiLevelType w:val="hybridMultilevel"/>
    <w:tmpl w:val="92C03E82"/>
    <w:lvl w:ilvl="0" w:tplc="53E6F5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D3295"/>
    <w:multiLevelType w:val="hybridMultilevel"/>
    <w:tmpl w:val="A1744F42"/>
    <w:lvl w:ilvl="0" w:tplc="F37A4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4070D"/>
    <w:multiLevelType w:val="hybridMultilevel"/>
    <w:tmpl w:val="A1744F42"/>
    <w:lvl w:ilvl="0" w:tplc="F37A4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7AF5"/>
    <w:multiLevelType w:val="hybridMultilevel"/>
    <w:tmpl w:val="913E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F6692"/>
    <w:multiLevelType w:val="hybridMultilevel"/>
    <w:tmpl w:val="40AEC458"/>
    <w:lvl w:ilvl="0" w:tplc="6D6C2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D03EA1"/>
    <w:multiLevelType w:val="hybridMultilevel"/>
    <w:tmpl w:val="A1744F42"/>
    <w:lvl w:ilvl="0" w:tplc="F37A4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4D3"/>
    <w:rsid w:val="00001B9A"/>
    <w:rsid w:val="00044963"/>
    <w:rsid w:val="000524C9"/>
    <w:rsid w:val="000724A0"/>
    <w:rsid w:val="0008409F"/>
    <w:rsid w:val="000A0CBA"/>
    <w:rsid w:val="000A2095"/>
    <w:rsid w:val="000D3F69"/>
    <w:rsid w:val="000F1A90"/>
    <w:rsid w:val="0012704E"/>
    <w:rsid w:val="001470E0"/>
    <w:rsid w:val="00194CC2"/>
    <w:rsid w:val="001D1CE1"/>
    <w:rsid w:val="001D468B"/>
    <w:rsid w:val="002346B7"/>
    <w:rsid w:val="00256353"/>
    <w:rsid w:val="00275AC9"/>
    <w:rsid w:val="0028286D"/>
    <w:rsid w:val="002B3C1B"/>
    <w:rsid w:val="002E2A0E"/>
    <w:rsid w:val="002F38F9"/>
    <w:rsid w:val="0035140F"/>
    <w:rsid w:val="00380F04"/>
    <w:rsid w:val="003D0DCF"/>
    <w:rsid w:val="004014D3"/>
    <w:rsid w:val="00412DDC"/>
    <w:rsid w:val="00462DAE"/>
    <w:rsid w:val="004E12FE"/>
    <w:rsid w:val="00524493"/>
    <w:rsid w:val="00587C32"/>
    <w:rsid w:val="005D30DE"/>
    <w:rsid w:val="005F2361"/>
    <w:rsid w:val="005F3758"/>
    <w:rsid w:val="00601B78"/>
    <w:rsid w:val="006030F7"/>
    <w:rsid w:val="00632144"/>
    <w:rsid w:val="007706F9"/>
    <w:rsid w:val="00774540"/>
    <w:rsid w:val="007C2D3E"/>
    <w:rsid w:val="00800BCD"/>
    <w:rsid w:val="00853E8A"/>
    <w:rsid w:val="00872CA1"/>
    <w:rsid w:val="00875145"/>
    <w:rsid w:val="008A466A"/>
    <w:rsid w:val="008C384D"/>
    <w:rsid w:val="008E2B0E"/>
    <w:rsid w:val="009C238F"/>
    <w:rsid w:val="009E5B8C"/>
    <w:rsid w:val="00A7303D"/>
    <w:rsid w:val="00B2643D"/>
    <w:rsid w:val="00BC5409"/>
    <w:rsid w:val="00BF19F5"/>
    <w:rsid w:val="00C15B3E"/>
    <w:rsid w:val="00C52010"/>
    <w:rsid w:val="00D56141"/>
    <w:rsid w:val="00D86915"/>
    <w:rsid w:val="00DC232B"/>
    <w:rsid w:val="00DE386C"/>
    <w:rsid w:val="00E34AE2"/>
    <w:rsid w:val="00E44164"/>
    <w:rsid w:val="00EE23A9"/>
    <w:rsid w:val="00EF7999"/>
    <w:rsid w:val="00F47AC2"/>
    <w:rsid w:val="00F51D69"/>
    <w:rsid w:val="00F56ADE"/>
    <w:rsid w:val="00F8710C"/>
    <w:rsid w:val="00F9547E"/>
    <w:rsid w:val="00FB2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4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14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annotation reference"/>
    <w:basedOn w:val="a0"/>
    <w:uiPriority w:val="99"/>
    <w:semiHidden/>
    <w:unhideWhenUsed/>
    <w:rsid w:val="00DC23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C232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C232B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23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232B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C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32B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F56A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56A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Бердыгулова Дана Кайратовна</dc:creator>
  <cp:lastModifiedBy>a.sagieva</cp:lastModifiedBy>
  <cp:revision>12</cp:revision>
  <dcterms:created xsi:type="dcterms:W3CDTF">2018-01-04T07:35:00Z</dcterms:created>
  <dcterms:modified xsi:type="dcterms:W3CDTF">2018-02-16T08:05:00Z</dcterms:modified>
</cp:coreProperties>
</file>