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95" w:rsidRPr="009E2154" w:rsidRDefault="00126D95" w:rsidP="00126D95">
      <w:pPr>
        <w:rPr>
          <w:color w:val="0000FF"/>
          <w:sz w:val="28"/>
          <w:szCs w:val="28"/>
          <w:u w:val="single"/>
        </w:rPr>
      </w:pPr>
      <w:r w:rsidRPr="009E2154">
        <w:rPr>
          <w:noProof/>
          <w:sz w:val="28"/>
          <w:szCs w:val="28"/>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5"/>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8D1AD6" w:rsidRPr="009E2154">
        <w:rPr>
          <w:sz w:val="28"/>
          <w:szCs w:val="28"/>
        </w:rPr>
        <w:fldChar w:fldCharType="begin"/>
      </w:r>
      <w:r w:rsidRPr="009E2154">
        <w:rPr>
          <w:sz w:val="28"/>
          <w:szCs w:val="28"/>
        </w:rPr>
        <w:instrText xml:space="preserve"> HYPERLINK "https://www.enpf.kz/upload/iblock/530/530fc2935ab932e01a02840ea97d3bdd.pdf" \l "page=1" \o "Страница 1" </w:instrText>
      </w:r>
      <w:r w:rsidR="008D1AD6" w:rsidRPr="009E2154">
        <w:rPr>
          <w:sz w:val="28"/>
          <w:szCs w:val="28"/>
        </w:rPr>
        <w:fldChar w:fldCharType="separate"/>
      </w:r>
    </w:p>
    <w:p w:rsidR="00126D95" w:rsidRPr="009E2154" w:rsidRDefault="008D1AD6" w:rsidP="00126D95">
      <w:pPr>
        <w:pStyle w:val="a3"/>
        <w:rPr>
          <w:color w:val="000000"/>
          <w:sz w:val="28"/>
          <w:szCs w:val="28"/>
        </w:rPr>
      </w:pPr>
      <w:r w:rsidRPr="009E2154">
        <w:rPr>
          <w:rFonts w:eastAsia="Times New Roman"/>
          <w:sz w:val="28"/>
          <w:szCs w:val="28"/>
        </w:rPr>
        <w:fldChar w:fldCharType="end"/>
      </w:r>
    </w:p>
    <w:p w:rsidR="00126D95" w:rsidRPr="009E2154" w:rsidRDefault="008D1AD6" w:rsidP="00126D95">
      <w:pPr>
        <w:rPr>
          <w:rFonts w:eastAsia="Calibri"/>
          <w:color w:val="000000"/>
          <w:sz w:val="28"/>
          <w:szCs w:val="28"/>
        </w:rPr>
      </w:pPr>
      <w:bookmarkStart w:id="0" w:name="_GoBack"/>
      <w:bookmarkEnd w:id="0"/>
      <w:r w:rsidRPr="008D1AD6">
        <w:rPr>
          <w:rFonts w:eastAsia="Calibri"/>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126D95" w:rsidRPr="005B7362" w:rsidRDefault="006D4913" w:rsidP="00126D95">
                  <w:pPr>
                    <w:spacing w:after="120"/>
                    <w:ind w:left="142"/>
                    <w:jc w:val="center"/>
                    <w:rPr>
                      <w:b/>
                      <w:sz w:val="26"/>
                      <w:szCs w:val="26"/>
                    </w:rPr>
                  </w:pPr>
                  <w:r>
                    <w:rPr>
                      <w:b/>
                      <w:sz w:val="26"/>
                      <w:szCs w:val="26"/>
                      <w:lang w:val="kk-KZ"/>
                    </w:rPr>
                    <w:t>АҚПАРАТТЫҚ ХАБАРЛАМА</w:t>
                  </w:r>
                </w:p>
              </w:txbxContent>
            </v:textbox>
          </v:shape>
        </w:pict>
      </w:r>
      <w:r w:rsidRPr="008D1AD6">
        <w:rPr>
          <w:rFonts w:eastAsia="Calibri"/>
          <w:noProof/>
          <w:sz w:val="28"/>
          <w:szCs w:val="28"/>
        </w:rPr>
        <w:pict>
          <v:line id="Line 1" o:spid="_x0000_s1027" style="position:absolute;z-index:251661312;visibility:visible;mso-wrap-distance-top:-1e-4mm;mso-wrap-distance-bottom:-1e-4mm"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126D95" w:rsidRPr="009E2154" w:rsidRDefault="00126D95" w:rsidP="00126D95">
      <w:pPr>
        <w:rPr>
          <w:rFonts w:eastAsia="Calibri"/>
          <w:color w:val="000000"/>
          <w:sz w:val="28"/>
          <w:szCs w:val="28"/>
        </w:rPr>
      </w:pPr>
    </w:p>
    <w:p w:rsidR="00126D95" w:rsidRPr="009E2154" w:rsidRDefault="00126D95" w:rsidP="00126D95">
      <w:pPr>
        <w:rPr>
          <w:rFonts w:eastAsia="Calibri"/>
          <w:color w:val="000000"/>
          <w:sz w:val="28"/>
          <w:szCs w:val="28"/>
        </w:rPr>
      </w:pPr>
    </w:p>
    <w:p w:rsidR="00126D95" w:rsidRPr="009E2154" w:rsidRDefault="00126D95" w:rsidP="00126D95">
      <w:pPr>
        <w:rPr>
          <w:rFonts w:eastAsia="Calibri"/>
          <w:color w:val="000000"/>
          <w:sz w:val="28"/>
          <w:szCs w:val="28"/>
        </w:rPr>
      </w:pPr>
    </w:p>
    <w:p w:rsidR="006D4913" w:rsidRPr="006D4913" w:rsidRDefault="006D4913" w:rsidP="00126D95">
      <w:pPr>
        <w:jc w:val="center"/>
        <w:rPr>
          <w:b/>
          <w:sz w:val="28"/>
          <w:szCs w:val="28"/>
          <w:lang w:val="kk-KZ"/>
        </w:rPr>
      </w:pPr>
      <w:r>
        <w:rPr>
          <w:b/>
          <w:sz w:val="28"/>
          <w:szCs w:val="28"/>
          <w:lang w:val="kk-KZ"/>
        </w:rPr>
        <w:t xml:space="preserve">Композиттік қызметті енгізу туралы </w:t>
      </w:r>
    </w:p>
    <w:p w:rsidR="006D4913" w:rsidRDefault="006D4913" w:rsidP="00324170">
      <w:pPr>
        <w:ind w:firstLine="709"/>
        <w:jc w:val="both"/>
        <w:rPr>
          <w:b/>
          <w:sz w:val="28"/>
          <w:szCs w:val="28"/>
        </w:rPr>
      </w:pPr>
    </w:p>
    <w:p w:rsidR="00036437" w:rsidRPr="00036437" w:rsidRDefault="006D4913" w:rsidP="00036437">
      <w:pPr>
        <w:jc w:val="both"/>
        <w:rPr>
          <w:sz w:val="28"/>
          <w:szCs w:val="28"/>
          <w:lang w:val="kk-KZ"/>
        </w:rPr>
      </w:pPr>
      <w:r>
        <w:rPr>
          <w:b/>
          <w:sz w:val="28"/>
          <w:szCs w:val="28"/>
          <w:lang w:val="kk-KZ"/>
        </w:rPr>
        <w:t xml:space="preserve">Алматы, Қазақстан – </w:t>
      </w:r>
      <w:r>
        <w:rPr>
          <w:sz w:val="28"/>
          <w:szCs w:val="28"/>
          <w:lang w:val="kk-KZ"/>
        </w:rPr>
        <w:t xml:space="preserve">«Бір терезе» қағидатын қолдана отырып, жасына байланысты зейнетақы төлемдерін тағайындау </w:t>
      </w:r>
      <w:r w:rsidR="008241F9">
        <w:rPr>
          <w:sz w:val="28"/>
          <w:szCs w:val="28"/>
          <w:lang w:val="kk-KZ"/>
        </w:rPr>
        <w:t xml:space="preserve">жөніндегі </w:t>
      </w:r>
      <w:r>
        <w:rPr>
          <w:sz w:val="28"/>
          <w:szCs w:val="28"/>
          <w:lang w:val="kk-KZ"/>
        </w:rPr>
        <w:t xml:space="preserve">бірыңғай өтінімді </w:t>
      </w:r>
      <w:r w:rsidR="00036437">
        <w:rPr>
          <w:sz w:val="28"/>
          <w:szCs w:val="28"/>
          <w:lang w:val="kk-KZ"/>
        </w:rPr>
        <w:t xml:space="preserve">ұсыну бойынша жаңа композиттік қызметті жүзеге асыру мақсатында Қазақстан Республикасы Үкіметінің 2018 жылғы 9 қазандағы </w:t>
      </w:r>
      <w:r w:rsidR="00036437" w:rsidRPr="00036437">
        <w:rPr>
          <w:sz w:val="28"/>
          <w:szCs w:val="28"/>
          <w:lang w:val="kk-KZ"/>
        </w:rPr>
        <w:t>№ 624</w:t>
      </w:r>
      <w:r w:rsidR="00036437">
        <w:rPr>
          <w:sz w:val="28"/>
          <w:szCs w:val="28"/>
          <w:lang w:val="kk-KZ"/>
        </w:rPr>
        <w:t xml:space="preserve">-ші қаулысы (бұдан әрі – Қаулы) негізінде </w:t>
      </w:r>
      <w:r w:rsidR="00036437" w:rsidRPr="00036437">
        <w:rPr>
          <w:color w:val="000000"/>
          <w:sz w:val="28"/>
          <w:szCs w:val="28"/>
          <w:lang w:val="kk-KZ"/>
        </w:rPr>
        <w:t>«Бірыңғай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w:t>
      </w:r>
      <w:r w:rsidR="00804112">
        <w:rPr>
          <w:color w:val="000000"/>
          <w:sz w:val="28"/>
          <w:szCs w:val="28"/>
          <w:lang w:val="kk-KZ"/>
        </w:rPr>
        <w:t>»</w:t>
      </w:r>
      <w:r w:rsidR="00036437" w:rsidRPr="00036437">
        <w:rPr>
          <w:color w:val="000000"/>
          <w:sz w:val="28"/>
          <w:szCs w:val="28"/>
          <w:lang w:val="kk-KZ"/>
        </w:rPr>
        <w:t xml:space="preserve"> Қазақстан Республикасы Үкіметінің 2013 жылғы 2 қазандағы № 1042-ші қаулысына</w:t>
      </w:r>
      <w:r w:rsidR="00036437">
        <w:rPr>
          <w:color w:val="000000"/>
          <w:sz w:val="28"/>
          <w:szCs w:val="28"/>
          <w:lang w:val="kk-KZ"/>
        </w:rPr>
        <w:t xml:space="preserve"> енгізілген өзгерістер мен толықтырулар бекітілді. </w:t>
      </w:r>
    </w:p>
    <w:p w:rsidR="008A111F" w:rsidRPr="00051F65" w:rsidRDefault="006F3F81" w:rsidP="00287941">
      <w:pPr>
        <w:ind w:firstLine="708"/>
        <w:jc w:val="both"/>
        <w:rPr>
          <w:sz w:val="28"/>
          <w:szCs w:val="28"/>
          <w:lang w:val="kk-KZ"/>
        </w:rPr>
      </w:pPr>
      <w:r>
        <w:rPr>
          <w:sz w:val="28"/>
          <w:szCs w:val="28"/>
          <w:lang w:val="kk-KZ"/>
        </w:rPr>
        <w:t>Енді</w:t>
      </w:r>
      <w:r w:rsidR="008A111F">
        <w:rPr>
          <w:sz w:val="28"/>
          <w:szCs w:val="28"/>
          <w:lang w:val="kk-KZ"/>
        </w:rPr>
        <w:t>,</w:t>
      </w:r>
      <w:r>
        <w:rPr>
          <w:sz w:val="28"/>
          <w:szCs w:val="28"/>
          <w:lang w:val="kk-KZ"/>
        </w:rPr>
        <w:t xml:space="preserve"> зейнеткерлік жасқа толған азаматтар, «Бір терезе» қағидаты бойынша жасына байланысты зейнетақы төлемдері</w:t>
      </w:r>
      <w:r w:rsidR="008A111F">
        <w:rPr>
          <w:sz w:val="28"/>
          <w:szCs w:val="28"/>
          <w:lang w:val="kk-KZ"/>
        </w:rPr>
        <w:t xml:space="preserve"> мен </w:t>
      </w:r>
      <w:r>
        <w:rPr>
          <w:sz w:val="28"/>
          <w:szCs w:val="28"/>
          <w:lang w:val="kk-KZ"/>
        </w:rPr>
        <w:t xml:space="preserve">мемлекеттік базалық </w:t>
      </w:r>
      <w:r w:rsidR="008A111F">
        <w:rPr>
          <w:sz w:val="28"/>
          <w:szCs w:val="28"/>
          <w:lang w:val="kk-KZ"/>
        </w:rPr>
        <w:t xml:space="preserve">зейнетақы төлемдерін және </w:t>
      </w:r>
      <w:r w:rsidR="00821C58">
        <w:rPr>
          <w:sz w:val="28"/>
          <w:szCs w:val="28"/>
          <w:lang w:val="kk-KZ"/>
        </w:rPr>
        <w:t>Бірыңғай жинақтаушы зейнетақы қорынан (бұдан әрі – БЖЗҚ, Қор)</w:t>
      </w:r>
      <w:r w:rsidR="008A111F">
        <w:rPr>
          <w:sz w:val="28"/>
          <w:szCs w:val="28"/>
          <w:lang w:val="kk-KZ"/>
        </w:rPr>
        <w:t xml:space="preserve"> міндетті зейнетақы жарналары (МЗЖ) және міндетті кәсіптік зейнетақы жарналары (МКЗЖ) есебінен қалыптасқан зейнетақы төлемдерін алу үшін бірыңғай өтінім мен құжаттар топтамасын тек бір жерге – «Азаматтарға арналған үкімет» Мемлекеттік корпорациясының Халыққа қызмет көрсету орталығына (ХҚО) тапсырулары қажет. </w:t>
      </w:r>
      <w:r w:rsidR="008D2734">
        <w:rPr>
          <w:sz w:val="28"/>
          <w:szCs w:val="28"/>
          <w:lang w:val="kk-KZ"/>
        </w:rPr>
        <w:t>З</w:t>
      </w:r>
      <w:r w:rsidR="00051F65" w:rsidRPr="00051F65">
        <w:rPr>
          <w:sz w:val="28"/>
          <w:szCs w:val="28"/>
          <w:lang w:val="kk-KZ"/>
        </w:rPr>
        <w:t xml:space="preserve">ейнетақы төлемдерін рәсімдеу жөніндегі өтініш негізінде алушыға </w:t>
      </w:r>
      <w:r w:rsidR="00AA5166">
        <w:rPr>
          <w:sz w:val="28"/>
          <w:szCs w:val="28"/>
          <w:lang w:val="kk-KZ"/>
        </w:rPr>
        <w:t xml:space="preserve">(үнсіз келісім бойынша) </w:t>
      </w:r>
      <w:r w:rsidR="00051F65" w:rsidRPr="00051F65">
        <w:rPr>
          <w:sz w:val="28"/>
          <w:szCs w:val="28"/>
          <w:lang w:val="kk-KZ"/>
        </w:rPr>
        <w:t xml:space="preserve">мемлекеттік кепілдік бойынша айырма сомасын </w:t>
      </w:r>
      <w:r w:rsidR="00051F65">
        <w:rPr>
          <w:sz w:val="28"/>
          <w:szCs w:val="28"/>
          <w:lang w:val="kk-KZ"/>
        </w:rPr>
        <w:t xml:space="preserve">(инфляция деңгейін ескере отырып, зейнетақы жинақтарының сомасы </w:t>
      </w:r>
      <w:r w:rsidR="00804112">
        <w:rPr>
          <w:sz w:val="28"/>
          <w:szCs w:val="28"/>
          <w:lang w:val="kk-KZ"/>
        </w:rPr>
        <w:t>және</w:t>
      </w:r>
      <w:r w:rsidR="00051F65">
        <w:rPr>
          <w:sz w:val="28"/>
          <w:szCs w:val="28"/>
          <w:lang w:val="kk-KZ"/>
        </w:rPr>
        <w:t xml:space="preserve"> нақты енгізілген </w:t>
      </w:r>
      <w:r w:rsidR="00287941">
        <w:rPr>
          <w:sz w:val="28"/>
          <w:szCs w:val="28"/>
          <w:lang w:val="kk-KZ"/>
        </w:rPr>
        <w:t xml:space="preserve">МЗЖ </w:t>
      </w:r>
      <w:r w:rsidR="00804112">
        <w:rPr>
          <w:sz w:val="28"/>
          <w:szCs w:val="28"/>
          <w:lang w:val="kk-KZ"/>
        </w:rPr>
        <w:t>мен</w:t>
      </w:r>
      <w:r w:rsidR="00287941">
        <w:rPr>
          <w:sz w:val="28"/>
          <w:szCs w:val="28"/>
          <w:lang w:val="kk-KZ"/>
        </w:rPr>
        <w:t>МКЗЖ</w:t>
      </w:r>
      <w:r w:rsidR="00051F65">
        <w:rPr>
          <w:sz w:val="28"/>
          <w:szCs w:val="28"/>
          <w:lang w:val="kk-KZ"/>
        </w:rPr>
        <w:t xml:space="preserve"> сомасы арасындағы айырма) </w:t>
      </w:r>
      <w:r w:rsidR="00051F65" w:rsidRPr="00051F65">
        <w:rPr>
          <w:sz w:val="28"/>
          <w:szCs w:val="28"/>
          <w:lang w:val="kk-KZ"/>
        </w:rPr>
        <w:t>төлеуге қатысты алдын алу қызметі көрсетіледі. Яғни, бұл үшін бөлек өтініш берудің қажеті жоқ.</w:t>
      </w:r>
    </w:p>
    <w:p w:rsidR="00051F65" w:rsidRPr="00051F65" w:rsidRDefault="00051F65" w:rsidP="001C28CD">
      <w:pPr>
        <w:pStyle w:val="ab"/>
        <w:ind w:firstLine="708"/>
        <w:jc w:val="both"/>
        <w:rPr>
          <w:sz w:val="28"/>
          <w:szCs w:val="28"/>
          <w:lang w:val="kk-KZ"/>
        </w:rPr>
      </w:pPr>
      <w:r>
        <w:rPr>
          <w:sz w:val="28"/>
          <w:szCs w:val="28"/>
          <w:shd w:val="clear" w:color="auto" w:fill="FFFFFF"/>
          <w:lang w:val="kk-KZ"/>
        </w:rPr>
        <w:t xml:space="preserve">Бұл ретте </w:t>
      </w:r>
      <w:r w:rsidRPr="00051F65">
        <w:rPr>
          <w:sz w:val="28"/>
          <w:szCs w:val="28"/>
          <w:shd w:val="clear" w:color="auto" w:fill="FFFFFF"/>
          <w:lang w:val="kk-KZ"/>
        </w:rPr>
        <w:t>Қ</w:t>
      </w:r>
      <w:r w:rsidRPr="00051F65">
        <w:rPr>
          <w:sz w:val="28"/>
          <w:szCs w:val="28"/>
          <w:lang w:val="kk-KZ"/>
        </w:rPr>
        <w:t>ор</w:t>
      </w:r>
      <w:r w:rsidR="00821C58">
        <w:rPr>
          <w:sz w:val="28"/>
          <w:szCs w:val="28"/>
          <w:lang w:val="kk-KZ"/>
        </w:rPr>
        <w:t xml:space="preserve">даналғашқы </w:t>
      </w:r>
      <w:r w:rsidRPr="00051F65">
        <w:rPr>
          <w:sz w:val="28"/>
          <w:szCs w:val="28"/>
          <w:lang w:val="kk-KZ"/>
        </w:rPr>
        <w:t>төлемдер зейнет жасына толған алушының банк шотына оның өтініші Мемлекеттік корпорацияға тіркелген күннен бастап 10 жұмыс күні ішінде немесе Қордан зейнетақы төлемдерін алу құқығы туындаған күннен бастап 10 жұмыс күні ішінде жүзеге асырылады. Әрі қарай Қор төлемдері мен бюджет есебінен берілетін зейнетақы төлемдері Мемлекеттік корпорация бекіткен кесте бойынша ай сайын алушының өтінішінде көрсетілген банк шотына бір мезгілде аударылып отырады.</w:t>
      </w:r>
    </w:p>
    <w:p w:rsidR="00821C58" w:rsidRDefault="00821C58" w:rsidP="001C28CD">
      <w:pPr>
        <w:pStyle w:val="a6"/>
        <w:spacing w:after="0" w:line="240" w:lineRule="auto"/>
        <w:ind w:left="0"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Бұл өзгерістер зейнеткерлік жасқа толуға байланысты зейнетақы төлемдерін алушылардың мүдделері үшін енгізіліп отыр.  </w:t>
      </w:r>
    </w:p>
    <w:p w:rsidR="009537EE" w:rsidRPr="00A20048" w:rsidRDefault="009537EE" w:rsidP="009537EE">
      <w:pPr>
        <w:ind w:firstLine="708"/>
        <w:rPr>
          <w:lang w:val="kk-KZ"/>
        </w:rPr>
      </w:pPr>
      <w:r w:rsidRPr="00DB57EC">
        <w:rPr>
          <w:sz w:val="28"/>
          <w:szCs w:val="28"/>
          <w:shd w:val="clear" w:color="auto" w:fill="FFFFFF"/>
          <w:lang w:val="kk-KZ"/>
        </w:rPr>
        <w:t xml:space="preserve">Бұл ретте БЖЗҚ-ның басқа қызметтері мен міндеттері, оның ішінде </w:t>
      </w:r>
      <w:r>
        <w:rPr>
          <w:sz w:val="28"/>
          <w:szCs w:val="28"/>
          <w:shd w:val="clear" w:color="auto" w:fill="FFFFFF"/>
          <w:lang w:val="kk-KZ"/>
        </w:rPr>
        <w:t>шетелге тұрақты тұруға кету, мүгедектік, жерлеу және мұрагерлікке байланысты төлемдер</w:t>
      </w:r>
      <w:r w:rsidR="00B8170E">
        <w:rPr>
          <w:sz w:val="28"/>
          <w:szCs w:val="28"/>
          <w:shd w:val="clear" w:color="auto" w:fill="FFFFFF"/>
          <w:lang w:val="kk-KZ"/>
        </w:rPr>
        <w:t xml:space="preserve"> мен </w:t>
      </w:r>
      <w:r>
        <w:rPr>
          <w:sz w:val="28"/>
          <w:szCs w:val="28"/>
          <w:shd w:val="clear" w:color="auto" w:fill="FFFFFF"/>
          <w:lang w:val="kk-KZ"/>
        </w:rPr>
        <w:t>ерікті зейнетақы жарналары бойынша төлемдер</w:t>
      </w:r>
      <w:r w:rsidR="00B8170E">
        <w:rPr>
          <w:sz w:val="28"/>
          <w:szCs w:val="28"/>
          <w:shd w:val="clear" w:color="auto" w:fill="FFFFFF"/>
          <w:lang w:val="kk-KZ"/>
        </w:rPr>
        <w:t xml:space="preserve">ді </w:t>
      </w:r>
      <w:r w:rsidR="00B8170E">
        <w:rPr>
          <w:sz w:val="28"/>
          <w:szCs w:val="28"/>
          <w:shd w:val="clear" w:color="auto" w:fill="FFFFFF"/>
          <w:lang w:val="kk-KZ"/>
        </w:rPr>
        <w:lastRenderedPageBreak/>
        <w:t>жүзеге асыру</w:t>
      </w:r>
      <w:r>
        <w:rPr>
          <w:sz w:val="28"/>
          <w:szCs w:val="28"/>
          <w:shd w:val="clear" w:color="auto" w:fill="FFFFFF"/>
          <w:lang w:val="kk-KZ"/>
        </w:rPr>
        <w:t xml:space="preserve">, сондай-ақ </w:t>
      </w:r>
      <w:r w:rsidRPr="00DB57EC">
        <w:rPr>
          <w:sz w:val="28"/>
          <w:szCs w:val="28"/>
          <w:shd w:val="clear" w:color="auto" w:fill="FFFFFF"/>
          <w:lang w:val="kk-KZ"/>
        </w:rPr>
        <w:t xml:space="preserve">МЗЖ мен МКЗЖ есебінен қалыптасқан ай сайынғы зейнетақы төлемдерін есепке алу, есептеу мәселелері және стратегиялық міндеттер сол </w:t>
      </w:r>
      <w:r>
        <w:rPr>
          <w:sz w:val="28"/>
          <w:szCs w:val="28"/>
          <w:shd w:val="clear" w:color="auto" w:fill="FFFFFF"/>
          <w:lang w:val="kk-KZ"/>
        </w:rPr>
        <w:t xml:space="preserve">өзгеріссіз </w:t>
      </w:r>
      <w:r w:rsidRPr="00DB57EC">
        <w:rPr>
          <w:sz w:val="28"/>
          <w:szCs w:val="28"/>
          <w:shd w:val="clear" w:color="auto" w:fill="FFFFFF"/>
          <w:lang w:val="kk-KZ"/>
        </w:rPr>
        <w:t>күйінде қалады</w:t>
      </w:r>
      <w:r>
        <w:rPr>
          <w:sz w:val="28"/>
          <w:szCs w:val="28"/>
          <w:shd w:val="clear" w:color="auto" w:fill="FFFFFF"/>
          <w:lang w:val="kk-KZ"/>
        </w:rPr>
        <w:t>.</w:t>
      </w:r>
    </w:p>
    <w:p w:rsidR="009537EE" w:rsidRDefault="009537EE" w:rsidP="001C28CD">
      <w:pPr>
        <w:pStyle w:val="a6"/>
        <w:spacing w:after="0" w:line="240" w:lineRule="auto"/>
        <w:ind w:left="0" w:firstLine="708"/>
        <w:jc w:val="both"/>
        <w:rPr>
          <w:rFonts w:ascii="Times New Roman" w:hAnsi="Times New Roman" w:cs="Times New Roman"/>
          <w:sz w:val="28"/>
          <w:szCs w:val="28"/>
          <w:shd w:val="clear" w:color="auto" w:fill="FFFFFF"/>
          <w:lang w:val="kk-KZ"/>
        </w:rPr>
      </w:pPr>
    </w:p>
    <w:p w:rsidR="00A40972" w:rsidRPr="00A40972" w:rsidRDefault="00A40972" w:rsidP="00A40972">
      <w:pPr>
        <w:jc w:val="both"/>
        <w:rPr>
          <w:i/>
          <w:sz w:val="28"/>
          <w:szCs w:val="28"/>
          <w:lang w:val="kk-KZ" w:bidi="hi-IN"/>
        </w:rPr>
      </w:pPr>
      <w:r w:rsidRPr="00A40972">
        <w:rPr>
          <w:b/>
          <w:i/>
          <w:sz w:val="28"/>
          <w:szCs w:val="28"/>
          <w:lang w:val="kk-KZ" w:bidi="hi-IN"/>
        </w:rPr>
        <w:t xml:space="preserve">БЖЗҚ </w:t>
      </w:r>
      <w:r w:rsidRPr="00A40972">
        <w:rPr>
          <w:i/>
          <w:sz w:val="28"/>
          <w:szCs w:val="28"/>
          <w:lang w:val="kk-KZ" w:bidi="hi-IN"/>
        </w:rPr>
        <w:t xml:space="preserve">2013 жылғы 22 тамызда «ГНПФ» ЖЗҚ» АҚ негізінде құрылды. БЖЗҚ құрылтайшысы және </w:t>
      </w:r>
      <w:r w:rsidRPr="00A40972">
        <w:rPr>
          <w:i/>
          <w:sz w:val="28"/>
          <w:szCs w:val="28"/>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A40972">
          <w:rPr>
            <w:i/>
            <w:color w:val="001CAC"/>
            <w:sz w:val="28"/>
            <w:szCs w:val="28"/>
            <w:lang w:val="kk-KZ" w:bidi="hi-IN"/>
          </w:rPr>
          <w:t>www.enpf.kz</w:t>
        </w:r>
      </w:hyperlink>
      <w:r w:rsidRPr="00A40972">
        <w:rPr>
          <w:i/>
          <w:sz w:val="28"/>
          <w:szCs w:val="28"/>
          <w:lang w:val="kk-KZ" w:bidi="hi-IN"/>
        </w:rPr>
        <w:t xml:space="preserve"> сайтында).                                       </w:t>
      </w:r>
    </w:p>
    <w:p w:rsidR="00A40972" w:rsidRPr="00A40972" w:rsidRDefault="00A40972" w:rsidP="00A40972">
      <w:pPr>
        <w:jc w:val="right"/>
        <w:rPr>
          <w:sz w:val="28"/>
          <w:szCs w:val="28"/>
          <w:lang w:val="kk-KZ"/>
        </w:rPr>
      </w:pPr>
      <w:r w:rsidRPr="00A40972">
        <w:rPr>
          <w:i/>
          <w:sz w:val="28"/>
          <w:szCs w:val="28"/>
          <w:lang w:val="kk-KZ" w:bidi="hi-IN"/>
        </w:rPr>
        <w:t xml:space="preserve">                                                          «</w:t>
      </w:r>
      <w:r w:rsidRPr="00A40972">
        <w:rPr>
          <w:sz w:val="28"/>
          <w:szCs w:val="28"/>
          <w:lang w:val="kk-KZ"/>
        </w:rPr>
        <w:t xml:space="preserve">БЖЗҚ» АҚ баспасөз орталығы                                                                                           БАҚ үшін байланыстар: </w:t>
      </w:r>
      <w:hyperlink r:id="rId7" w:history="1">
        <w:r w:rsidRPr="00A40972">
          <w:rPr>
            <w:color w:val="001CAC"/>
            <w:sz w:val="28"/>
            <w:szCs w:val="28"/>
            <w:lang w:val="kk-KZ"/>
          </w:rPr>
          <w:t>press@enpf.kz</w:t>
        </w:r>
      </w:hyperlink>
    </w:p>
    <w:p w:rsidR="00A40972" w:rsidRPr="00A40972" w:rsidRDefault="00A40972" w:rsidP="00A40972">
      <w:pPr>
        <w:pStyle w:val="a3"/>
        <w:rPr>
          <w:sz w:val="28"/>
          <w:szCs w:val="28"/>
          <w:lang w:val="kk-KZ"/>
        </w:rPr>
      </w:pPr>
    </w:p>
    <w:p w:rsidR="00126D95" w:rsidRPr="00A40972" w:rsidRDefault="00126D95" w:rsidP="00126D95">
      <w:pPr>
        <w:rPr>
          <w:sz w:val="28"/>
          <w:szCs w:val="28"/>
          <w:lang w:val="kk-KZ"/>
        </w:rPr>
      </w:pPr>
    </w:p>
    <w:sectPr w:rsidR="00126D95" w:rsidRPr="00A40972" w:rsidSect="008D1A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4CFF"/>
    <w:multiLevelType w:val="hybridMultilevel"/>
    <w:tmpl w:val="F5A8A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6D95"/>
    <w:rsid w:val="000046BE"/>
    <w:rsid w:val="00036437"/>
    <w:rsid w:val="00051F65"/>
    <w:rsid w:val="00126D95"/>
    <w:rsid w:val="001C28CD"/>
    <w:rsid w:val="00283785"/>
    <w:rsid w:val="00287941"/>
    <w:rsid w:val="00301754"/>
    <w:rsid w:val="00324170"/>
    <w:rsid w:val="003C4674"/>
    <w:rsid w:val="0049260D"/>
    <w:rsid w:val="00533898"/>
    <w:rsid w:val="006108B8"/>
    <w:rsid w:val="00672BD7"/>
    <w:rsid w:val="006C2368"/>
    <w:rsid w:val="006D4913"/>
    <w:rsid w:val="006F3F81"/>
    <w:rsid w:val="00735C7A"/>
    <w:rsid w:val="007B7066"/>
    <w:rsid w:val="007E7243"/>
    <w:rsid w:val="00804112"/>
    <w:rsid w:val="00817DC7"/>
    <w:rsid w:val="00821C58"/>
    <w:rsid w:val="008241F9"/>
    <w:rsid w:val="00854B7B"/>
    <w:rsid w:val="008A111F"/>
    <w:rsid w:val="008D1AD6"/>
    <w:rsid w:val="008D2734"/>
    <w:rsid w:val="008F6AEE"/>
    <w:rsid w:val="00946B0F"/>
    <w:rsid w:val="009537EE"/>
    <w:rsid w:val="0096110F"/>
    <w:rsid w:val="009658A2"/>
    <w:rsid w:val="009E2154"/>
    <w:rsid w:val="00A40972"/>
    <w:rsid w:val="00AA5166"/>
    <w:rsid w:val="00B8170E"/>
    <w:rsid w:val="00C020F9"/>
    <w:rsid w:val="00C1285F"/>
    <w:rsid w:val="00C15258"/>
    <w:rsid w:val="00C5726B"/>
    <w:rsid w:val="00C62272"/>
    <w:rsid w:val="00D07081"/>
    <w:rsid w:val="00D22C74"/>
    <w:rsid w:val="00D31409"/>
    <w:rsid w:val="00D87AAD"/>
    <w:rsid w:val="00DA52DD"/>
    <w:rsid w:val="00DB57EC"/>
    <w:rsid w:val="00DD39F2"/>
    <w:rsid w:val="00F40D34"/>
    <w:rsid w:val="00F45CBC"/>
    <w:rsid w:val="00F87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D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126D95"/>
    <w:pPr>
      <w:spacing w:after="0" w:line="240" w:lineRule="auto"/>
      <w:jc w:val="both"/>
    </w:pPr>
    <w:rPr>
      <w:rFonts w:ascii="Times New Roman" w:eastAsia="Calibri" w:hAnsi="Times New Roman" w:cs="Times New Roman"/>
      <w:sz w:val="24"/>
      <w:szCs w:val="24"/>
      <w:lang w:eastAsia="ru-RU"/>
    </w:rPr>
  </w:style>
  <w:style w:type="character" w:customStyle="1" w:styleId="a4">
    <w:name w:val="Без интервала Знак"/>
    <w:aliases w:val="Обя Знак,мелкий Знак,Без интервала2 Знак,No Spacing Знак"/>
    <w:link w:val="a3"/>
    <w:uiPriority w:val="99"/>
    <w:locked/>
    <w:rsid w:val="00126D95"/>
    <w:rPr>
      <w:rFonts w:ascii="Times New Roman" w:eastAsia="Calibri" w:hAnsi="Times New Roman" w:cs="Times New Roman"/>
      <w:sz w:val="24"/>
      <w:szCs w:val="24"/>
      <w:lang w:eastAsia="ru-RU"/>
    </w:rPr>
  </w:style>
  <w:style w:type="character" w:customStyle="1" w:styleId="a5">
    <w:name w:val="Абзац списка Знак"/>
    <w:aliases w:val="Heading1 Знак,Colorful List - Accent 11 Знак,Colorful List - Accent 11CxSpLast Знак,H1-1 Знак,Заголовок3 Знак"/>
    <w:basedOn w:val="a0"/>
    <w:link w:val="a6"/>
    <w:uiPriority w:val="34"/>
    <w:locked/>
    <w:rsid w:val="00126D95"/>
    <w:rPr>
      <w:rFonts w:ascii="Calibri" w:hAnsi="Calibri"/>
    </w:rPr>
  </w:style>
  <w:style w:type="paragraph" w:styleId="a6">
    <w:name w:val="List Paragraph"/>
    <w:aliases w:val="Heading1,Colorful List - Accent 11,Colorful List - Accent 11CxSpLast,H1-1,Заголовок3"/>
    <w:basedOn w:val="a"/>
    <w:link w:val="a5"/>
    <w:uiPriority w:val="34"/>
    <w:qFormat/>
    <w:rsid w:val="00126D95"/>
    <w:pPr>
      <w:spacing w:after="160" w:line="252" w:lineRule="auto"/>
      <w:ind w:left="720"/>
      <w:contextualSpacing/>
    </w:pPr>
    <w:rPr>
      <w:rFonts w:ascii="Calibri" w:eastAsiaTheme="minorHAnsi" w:hAnsi="Calibri" w:cstheme="minorBidi"/>
      <w:sz w:val="22"/>
      <w:szCs w:val="22"/>
      <w:lang w:eastAsia="en-US"/>
    </w:rPr>
  </w:style>
  <w:style w:type="paragraph" w:styleId="a7">
    <w:name w:val="Normal (Web)"/>
    <w:basedOn w:val="a"/>
    <w:uiPriority w:val="99"/>
    <w:unhideWhenUsed/>
    <w:rsid w:val="00126D95"/>
    <w:pPr>
      <w:spacing w:after="100" w:afterAutospacing="1"/>
    </w:pPr>
  </w:style>
  <w:style w:type="paragraph" w:customStyle="1" w:styleId="3">
    <w:name w:val="Обычный3"/>
    <w:rsid w:val="00126D95"/>
    <w:pPr>
      <w:spacing w:after="0" w:line="240" w:lineRule="auto"/>
    </w:pPr>
    <w:rPr>
      <w:rFonts w:ascii="Times New Roman" w:eastAsia="Times New Roman" w:hAnsi="Times New Roman" w:cs="Times New Roman"/>
      <w:snapToGrid w:val="0"/>
      <w:sz w:val="20"/>
      <w:szCs w:val="20"/>
      <w:lang w:eastAsia="ru-RU"/>
    </w:rPr>
  </w:style>
  <w:style w:type="character" w:customStyle="1" w:styleId="s0">
    <w:name w:val="s0"/>
    <w:rsid w:val="000046BE"/>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Balloon Text"/>
    <w:basedOn w:val="a"/>
    <w:link w:val="a9"/>
    <w:uiPriority w:val="99"/>
    <w:semiHidden/>
    <w:unhideWhenUsed/>
    <w:rsid w:val="00324170"/>
    <w:rPr>
      <w:rFonts w:ascii="Segoe UI" w:hAnsi="Segoe UI" w:cs="Segoe UI"/>
      <w:sz w:val="18"/>
      <w:szCs w:val="18"/>
    </w:rPr>
  </w:style>
  <w:style w:type="character" w:customStyle="1" w:styleId="a9">
    <w:name w:val="Текст выноски Знак"/>
    <w:basedOn w:val="a0"/>
    <w:link w:val="a8"/>
    <w:uiPriority w:val="99"/>
    <w:semiHidden/>
    <w:rsid w:val="00324170"/>
    <w:rPr>
      <w:rFonts w:ascii="Segoe UI" w:eastAsia="Times New Roman" w:hAnsi="Segoe UI" w:cs="Segoe UI"/>
      <w:sz w:val="18"/>
      <w:szCs w:val="18"/>
      <w:lang w:eastAsia="ru-RU"/>
    </w:rPr>
  </w:style>
  <w:style w:type="character" w:styleId="aa">
    <w:name w:val="annotation reference"/>
    <w:basedOn w:val="a0"/>
    <w:uiPriority w:val="99"/>
    <w:semiHidden/>
    <w:unhideWhenUsed/>
    <w:rsid w:val="00301754"/>
    <w:rPr>
      <w:sz w:val="16"/>
      <w:szCs w:val="16"/>
    </w:rPr>
  </w:style>
  <w:style w:type="paragraph" w:styleId="ab">
    <w:name w:val="annotation text"/>
    <w:basedOn w:val="a"/>
    <w:link w:val="ac"/>
    <w:uiPriority w:val="99"/>
    <w:semiHidden/>
    <w:unhideWhenUsed/>
    <w:rsid w:val="00301754"/>
    <w:rPr>
      <w:sz w:val="20"/>
      <w:szCs w:val="20"/>
    </w:rPr>
  </w:style>
  <w:style w:type="character" w:customStyle="1" w:styleId="ac">
    <w:name w:val="Текст примечания Знак"/>
    <w:basedOn w:val="a0"/>
    <w:link w:val="ab"/>
    <w:uiPriority w:val="99"/>
    <w:semiHidden/>
    <w:rsid w:val="0030175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01754"/>
    <w:rPr>
      <w:b/>
      <w:bCs/>
    </w:rPr>
  </w:style>
  <w:style w:type="character" w:customStyle="1" w:styleId="ae">
    <w:name w:val="Тема примечания Знак"/>
    <w:basedOn w:val="ac"/>
    <w:link w:val="ad"/>
    <w:uiPriority w:val="99"/>
    <w:semiHidden/>
    <w:rsid w:val="00301754"/>
    <w:rPr>
      <w:rFonts w:ascii="Times New Roman" w:eastAsia="Times New Roman" w:hAnsi="Times New Roman" w:cs="Times New Roman"/>
      <w:b/>
      <w:bCs/>
      <w:sz w:val="20"/>
      <w:szCs w:val="20"/>
      <w:lang w:eastAsia="ru-RU"/>
    </w:rPr>
  </w:style>
  <w:style w:type="paragraph" w:styleId="af">
    <w:name w:val="Revision"/>
    <w:hidden/>
    <w:uiPriority w:val="99"/>
    <w:semiHidden/>
    <w:rsid w:val="0030175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87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n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z.alimbetova</cp:lastModifiedBy>
  <cp:revision>4</cp:revision>
  <cp:lastPrinted>2018-10-11T03:35:00Z</cp:lastPrinted>
  <dcterms:created xsi:type="dcterms:W3CDTF">2018-10-11T08:49:00Z</dcterms:created>
  <dcterms:modified xsi:type="dcterms:W3CDTF">2018-12-05T03:41:00Z</dcterms:modified>
</cp:coreProperties>
</file>